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3CF5" w14:textId="5C08093D" w:rsidR="00507322" w:rsidRDefault="007651B1" w:rsidP="00507322">
      <w:pPr>
        <w:pStyle w:val="NoSpacing"/>
        <w:jc w:val="center"/>
        <w:rPr>
          <w:rFonts w:asciiTheme="majorHAnsi" w:hAnsiTheme="majorHAnsi" w:cstheme="majorHAnsi"/>
          <w:b/>
          <w:sz w:val="52"/>
          <w:szCs w:val="52"/>
        </w:rPr>
      </w:pPr>
      <w:r w:rsidRPr="00C21DFD">
        <w:rPr>
          <w:rFonts w:asciiTheme="majorHAnsi" w:hAnsiTheme="majorHAnsi" w:cstheme="majorHAnsi"/>
          <w:b/>
          <w:noProof/>
          <w:sz w:val="52"/>
          <w:szCs w:val="52"/>
        </w:rPr>
        <w:drawing>
          <wp:anchor distT="0" distB="0" distL="114300" distR="114300" simplePos="0" relativeHeight="251710464" behindDoc="0" locked="0" layoutInCell="1" allowOverlap="1" wp14:anchorId="2AB794BB" wp14:editId="58ED76C0">
            <wp:simplePos x="0" y="0"/>
            <wp:positionH relativeFrom="margin">
              <wp:posOffset>1828800</wp:posOffset>
            </wp:positionH>
            <wp:positionV relativeFrom="paragraph">
              <wp:posOffset>8890</wp:posOffset>
            </wp:positionV>
            <wp:extent cx="1900555" cy="1162050"/>
            <wp:effectExtent l="0" t="0" r="4445" b="0"/>
            <wp:wrapSquare wrapText="bothSides"/>
            <wp:docPr id="55617087" name="Picture 1" descr="A black and white logo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7087" name="Picture 1" descr="A black and white logo of a building&#10;&#10;AI-generated content may be incorrect."/>
                    <pic:cNvPicPr/>
                  </pic:nvPicPr>
                  <pic:blipFill>
                    <a:blip r:embed="rId11"/>
                    <a:stretch>
                      <a:fillRect/>
                    </a:stretch>
                  </pic:blipFill>
                  <pic:spPr>
                    <a:xfrm>
                      <a:off x="0" y="0"/>
                      <a:ext cx="1900555" cy="116205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noProof/>
          <w:sz w:val="52"/>
          <w:szCs w:val="52"/>
        </w:rPr>
        <mc:AlternateContent>
          <mc:Choice Requires="wpg">
            <w:drawing>
              <wp:anchor distT="0" distB="0" distL="114300" distR="114300" simplePos="0" relativeHeight="251708416" behindDoc="0" locked="0" layoutInCell="1" allowOverlap="1" wp14:anchorId="73662956" wp14:editId="2E162236">
                <wp:simplePos x="0" y="0"/>
                <wp:positionH relativeFrom="margin">
                  <wp:align>center</wp:align>
                </wp:positionH>
                <wp:positionV relativeFrom="paragraph">
                  <wp:posOffset>-561975</wp:posOffset>
                </wp:positionV>
                <wp:extent cx="7010400" cy="8896350"/>
                <wp:effectExtent l="19050" t="19050" r="38100" b="38100"/>
                <wp:wrapNone/>
                <wp:docPr id="303200817" name="Group 1"/>
                <wp:cNvGraphicFramePr/>
                <a:graphic xmlns:a="http://schemas.openxmlformats.org/drawingml/2006/main">
                  <a:graphicData uri="http://schemas.microsoft.com/office/word/2010/wordprocessingGroup">
                    <wpg:wgp>
                      <wpg:cNvGrpSpPr/>
                      <wpg:grpSpPr>
                        <a:xfrm>
                          <a:off x="0" y="0"/>
                          <a:ext cx="7010400" cy="8896350"/>
                          <a:chOff x="0" y="0"/>
                          <a:chExt cx="7010400" cy="8896350"/>
                        </a:xfrm>
                      </wpg:grpSpPr>
                      <wps:wsp>
                        <wps:cNvPr id="814502336" name="Rectangle 1"/>
                        <wps:cNvSpPr/>
                        <wps:spPr>
                          <a:xfrm>
                            <a:off x="0" y="0"/>
                            <a:ext cx="7010400" cy="8896350"/>
                          </a:xfrm>
                          <a:prstGeom prst="rect">
                            <a:avLst/>
                          </a:prstGeom>
                          <a:noFill/>
                          <a:ln w="57150">
                            <a:solidFill>
                              <a:schemeClr val="accent3">
                                <a:lumMod val="5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0743406" name="Rectangle 2"/>
                        <wps:cNvSpPr/>
                        <wps:spPr>
                          <a:xfrm>
                            <a:off x="349085" y="527215"/>
                            <a:ext cx="605155" cy="581660"/>
                          </a:xfrm>
                          <a:prstGeom prst="rect">
                            <a:avLst/>
                          </a:prstGeom>
                          <a:solidFill>
                            <a:schemeClr val="accent3">
                              <a:lumMod val="20000"/>
                              <a:lumOff val="80000"/>
                            </a:schemeClr>
                          </a:solidFill>
                          <a:ln>
                            <a:solidFill>
                              <a:schemeClr val="accent3">
                                <a:lumMod val="20000"/>
                                <a:lumOff val="80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12904232" name="Group 3"/>
                        <wpg:cNvGrpSpPr/>
                        <wpg:grpSpPr>
                          <a:xfrm>
                            <a:off x="372836" y="4564825"/>
                            <a:ext cx="1752600" cy="3802049"/>
                            <a:chOff x="0" y="0"/>
                            <a:chExt cx="1752600" cy="3802049"/>
                          </a:xfrm>
                        </wpg:grpSpPr>
                        <wps:wsp>
                          <wps:cNvPr id="1005094239" name="Rectangle 2"/>
                          <wps:cNvSpPr/>
                          <wps:spPr>
                            <a:xfrm>
                              <a:off x="19050" y="0"/>
                              <a:ext cx="1209675" cy="1181100"/>
                            </a:xfrm>
                            <a:prstGeom prst="rect">
                              <a:avLst/>
                            </a:prstGeom>
                            <a:solidFill>
                              <a:schemeClr val="accent3">
                                <a:lumMod val="75000"/>
                              </a:schemeClr>
                            </a:solidFill>
                            <a:ln>
                              <a:solidFill>
                                <a:schemeClr val="accent3">
                                  <a:lumMod val="75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738779" name="Rectangle 2"/>
                          <wps:cNvSpPr/>
                          <wps:spPr>
                            <a:xfrm>
                              <a:off x="542925" y="1314450"/>
                              <a:ext cx="1209675" cy="1181100"/>
                            </a:xfrm>
                            <a:prstGeom prst="rect">
                              <a:avLst/>
                            </a:prstGeom>
                            <a:solidFill>
                              <a:schemeClr val="accent3">
                                <a:lumMod val="60000"/>
                                <a:lumOff val="40000"/>
                              </a:schemeClr>
                            </a:solidFill>
                            <a:ln>
                              <a:solidFill>
                                <a:schemeClr val="accent3">
                                  <a:lumMod val="60000"/>
                                  <a:lumOff val="40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261473" name="Rectangle 2"/>
                          <wps:cNvSpPr/>
                          <wps:spPr>
                            <a:xfrm>
                              <a:off x="0" y="2619375"/>
                              <a:ext cx="1146064" cy="1181100"/>
                            </a:xfrm>
                            <a:prstGeom prst="rect">
                              <a:avLst/>
                            </a:prstGeom>
                            <a:solidFill>
                              <a:schemeClr val="accent3"/>
                            </a:solidFill>
                            <a:ln>
                              <a:solidFill>
                                <a:schemeClr val="accent3"/>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549930" name="Rectangle 2"/>
                          <wps:cNvSpPr/>
                          <wps:spPr>
                            <a:xfrm>
                              <a:off x="38100" y="1314450"/>
                              <a:ext cx="399470" cy="1163782"/>
                            </a:xfrm>
                            <a:prstGeom prst="rect">
                              <a:avLst/>
                            </a:prstGeom>
                            <a:solidFill>
                              <a:schemeClr val="accent3">
                                <a:lumMod val="20000"/>
                                <a:lumOff val="80000"/>
                              </a:schemeClr>
                            </a:solidFill>
                            <a:ln>
                              <a:solidFill>
                                <a:schemeClr val="accent3">
                                  <a:lumMod val="20000"/>
                                  <a:lumOff val="80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3347484" name="Rectangle 2"/>
                          <wps:cNvSpPr/>
                          <wps:spPr>
                            <a:xfrm>
                              <a:off x="1381125" y="19050"/>
                              <a:ext cx="365760" cy="1176793"/>
                            </a:xfrm>
                            <a:prstGeom prst="rect">
                              <a:avLst/>
                            </a:prstGeom>
                            <a:solidFill>
                              <a:schemeClr val="accent3">
                                <a:lumMod val="20000"/>
                                <a:lumOff val="80000"/>
                              </a:schemeClr>
                            </a:solidFill>
                            <a:ln>
                              <a:solidFill>
                                <a:schemeClr val="accent3">
                                  <a:lumMod val="20000"/>
                                  <a:lumOff val="80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921659" name="Rectangle 2"/>
                          <wps:cNvSpPr/>
                          <wps:spPr>
                            <a:xfrm>
                              <a:off x="1276350" y="2628900"/>
                              <a:ext cx="461175" cy="1173149"/>
                            </a:xfrm>
                            <a:prstGeom prst="rect">
                              <a:avLst/>
                            </a:prstGeom>
                            <a:solidFill>
                              <a:schemeClr val="accent3">
                                <a:lumMod val="20000"/>
                                <a:lumOff val="80000"/>
                              </a:schemeClr>
                            </a:solidFill>
                            <a:ln>
                              <a:solidFill>
                                <a:schemeClr val="accent3">
                                  <a:lumMod val="20000"/>
                                  <a:lumOff val="80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37151715" name="Rectangle 2"/>
                        <wps:cNvSpPr/>
                        <wps:spPr>
                          <a:xfrm>
                            <a:off x="6120493" y="7783038"/>
                            <a:ext cx="605641" cy="581891"/>
                          </a:xfrm>
                          <a:prstGeom prst="rect">
                            <a:avLst/>
                          </a:prstGeom>
                          <a:solidFill>
                            <a:schemeClr val="accent3">
                              <a:lumMod val="20000"/>
                              <a:lumOff val="80000"/>
                            </a:schemeClr>
                          </a:solidFill>
                          <a:ln>
                            <a:solidFill>
                              <a:schemeClr val="accent3">
                                <a:lumMod val="20000"/>
                                <a:lumOff val="80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1346965" name="Group 4"/>
                        <wpg:cNvGrpSpPr/>
                        <wpg:grpSpPr>
                          <a:xfrm>
                            <a:off x="5206093" y="539090"/>
                            <a:ext cx="1546747" cy="2873829"/>
                            <a:chOff x="0" y="0"/>
                            <a:chExt cx="1546747" cy="2873829"/>
                          </a:xfrm>
                        </wpg:grpSpPr>
                        <wps:wsp>
                          <wps:cNvPr id="182565498" name="Rectangle 2"/>
                          <wps:cNvSpPr/>
                          <wps:spPr>
                            <a:xfrm flipH="1">
                              <a:off x="463138" y="0"/>
                              <a:ext cx="1068546" cy="793386"/>
                            </a:xfrm>
                            <a:prstGeom prst="rect">
                              <a:avLst/>
                            </a:prstGeom>
                            <a:solidFill>
                              <a:schemeClr val="accent3">
                                <a:lumMod val="75000"/>
                              </a:schemeClr>
                            </a:solidFill>
                            <a:ln>
                              <a:solidFill>
                                <a:schemeClr val="accent3">
                                  <a:lumMod val="75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459311" name="Rectangle 2"/>
                          <wps:cNvSpPr/>
                          <wps:spPr>
                            <a:xfrm flipH="1">
                              <a:off x="0" y="878774"/>
                              <a:ext cx="1068546" cy="793386"/>
                            </a:xfrm>
                            <a:prstGeom prst="rect">
                              <a:avLst/>
                            </a:prstGeom>
                            <a:solidFill>
                              <a:schemeClr val="accent3">
                                <a:lumMod val="60000"/>
                                <a:lumOff val="40000"/>
                              </a:schemeClr>
                            </a:solidFill>
                            <a:ln>
                              <a:solidFill>
                                <a:schemeClr val="accent3">
                                  <a:lumMod val="60000"/>
                                  <a:lumOff val="40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1602991" name="Rectangle 2"/>
                          <wps:cNvSpPr/>
                          <wps:spPr>
                            <a:xfrm flipH="1">
                              <a:off x="534390" y="1757548"/>
                              <a:ext cx="1012357" cy="793386"/>
                            </a:xfrm>
                            <a:prstGeom prst="rect">
                              <a:avLst/>
                            </a:prstGeom>
                            <a:solidFill>
                              <a:schemeClr val="accent3"/>
                            </a:solidFill>
                            <a:ln>
                              <a:solidFill>
                                <a:schemeClr val="accent3"/>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0592120" name="Rectangle 2"/>
                          <wps:cNvSpPr/>
                          <wps:spPr>
                            <a:xfrm flipH="1">
                              <a:off x="1163782" y="878774"/>
                              <a:ext cx="352865" cy="781753"/>
                            </a:xfrm>
                            <a:prstGeom prst="rect">
                              <a:avLst/>
                            </a:prstGeom>
                            <a:solidFill>
                              <a:schemeClr val="accent3">
                                <a:lumMod val="20000"/>
                                <a:lumOff val="80000"/>
                              </a:schemeClr>
                            </a:solidFill>
                            <a:ln>
                              <a:solidFill>
                                <a:schemeClr val="accent3">
                                  <a:lumMod val="20000"/>
                                  <a:lumOff val="80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7005027" name="Rectangle 2"/>
                          <wps:cNvSpPr/>
                          <wps:spPr>
                            <a:xfrm flipH="1">
                              <a:off x="35626" y="0"/>
                              <a:ext cx="322580" cy="789940"/>
                            </a:xfrm>
                            <a:prstGeom prst="rect">
                              <a:avLst/>
                            </a:prstGeom>
                            <a:solidFill>
                              <a:schemeClr val="accent3">
                                <a:lumMod val="20000"/>
                                <a:lumOff val="80000"/>
                              </a:schemeClr>
                            </a:solidFill>
                            <a:ln>
                              <a:solidFill>
                                <a:schemeClr val="accent3">
                                  <a:lumMod val="20000"/>
                                  <a:lumOff val="80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1741654" name="Rectangle 2"/>
                          <wps:cNvSpPr/>
                          <wps:spPr>
                            <a:xfrm flipH="1">
                              <a:off x="11875" y="1769424"/>
                              <a:ext cx="407371" cy="788045"/>
                            </a:xfrm>
                            <a:prstGeom prst="rect">
                              <a:avLst/>
                            </a:prstGeom>
                            <a:solidFill>
                              <a:schemeClr val="accent3">
                                <a:lumMod val="20000"/>
                                <a:lumOff val="80000"/>
                              </a:schemeClr>
                            </a:solidFill>
                            <a:ln>
                              <a:solidFill>
                                <a:schemeClr val="accent3">
                                  <a:lumMod val="20000"/>
                                  <a:lumOff val="80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933888" name="Rectangle 2"/>
                          <wps:cNvSpPr/>
                          <wps:spPr>
                            <a:xfrm>
                              <a:off x="0" y="2648198"/>
                              <a:ext cx="1516207" cy="225631"/>
                            </a:xfrm>
                            <a:prstGeom prst="rect">
                              <a:avLst/>
                            </a:prstGeom>
                            <a:solidFill>
                              <a:schemeClr val="accent3">
                                <a:lumMod val="50000"/>
                              </a:schemeClr>
                            </a:solidFill>
                            <a:ln>
                              <a:solidFill>
                                <a:schemeClr val="accent3">
                                  <a:lumMod val="50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8A547E7" id="Group 1" o:spid="_x0000_s1026" style="position:absolute;margin-left:0;margin-top:-44.25pt;width:552pt;height:700.5pt;z-index:251708416;mso-position-horizontal:center;mso-position-horizontal-relative:margin" coordsize="70104,8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">
                <v:rect id="Rectangle 1" o:spid="_x0000_s1027" style="position:absolute;width:70104;height:88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" filled="f" strokecolor="#4e6128 [1606]" strokeweight="4.5pt"/>
                <v:rect id="Rectangle 2" o:spid="_x0000_s1028" style="position:absolute;left:3490;top:5272;width:6052;height:5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" fillcolor="#eaf1dd [662]" strokecolor="#eaf1dd [662]" strokeweight="2pt"/>
                <v:group id="Group 3" o:spid="_x0000_s1029" style="position:absolute;left:3728;top:45648;width:17526;height:38020" coordsize="17526,3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">
                  <v:rect id="Rectangle 2" o:spid="_x0000_s1030" style="position:absolute;left:190;width:12097;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" fillcolor="#76923c [2406]" strokecolor="#76923c [2406]" strokeweight="2pt"/>
                  <v:rect id="Rectangle 2" o:spid="_x0000_s1031" style="position:absolute;left:5429;top:13144;width:12097;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" fillcolor="#c2d69b [1942]" strokecolor="#c2d69b [1942]" strokeweight="2pt"/>
                  <v:rect id="Rectangle 2" o:spid="_x0000_s1032" style="position:absolute;top:26193;width:11460;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" fillcolor="#9bbb59 [3206]" strokecolor="#9bbb59 [3206]" strokeweight="2pt"/>
                  <v:rect id="Rectangle 2" o:spid="_x0000_s1033" style="position:absolute;left:381;top:13144;width:3994;height:1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" fillcolor="#eaf1dd [662]" strokecolor="#eaf1dd [662]" strokeweight="2pt"/>
                  <v:rect id="Rectangle 2" o:spid="_x0000_s1034" style="position:absolute;left:13811;top:190;width:3657;height:11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" fillcolor="#eaf1dd [662]" strokecolor="#eaf1dd [662]" strokeweight="2pt"/>
                  <v:rect id="Rectangle 2" o:spid="_x0000_s1035" style="position:absolute;left:12763;top:26289;width:4612;height:1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" fillcolor="#eaf1dd [662]" strokecolor="#eaf1dd [662]" strokeweight="2pt"/>
                </v:group>
                <v:rect id="Rectangle 2" o:spid="_x0000_s1036" style="position:absolute;left:61204;top:77830;width:6057;height:5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" fillcolor="#eaf1dd [662]" strokecolor="#eaf1dd [662]" strokeweight="2pt"/>
                <v:group id="Group 4" o:spid="_x0000_s1037" style="position:absolute;left:52060;top:5390;width:15468;height:28739" coordsize="15467,2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">
                  <v:rect id="Rectangle 2" o:spid="_x0000_s1038" style="position:absolute;left:4631;width:10685;height:79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" fillcolor="#76923c [2406]" strokecolor="#76923c [2406]" strokeweight="2pt"/>
                  <v:rect id="Rectangle 2" o:spid="_x0000_s1039" style="position:absolute;top:8787;width:10685;height:79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" fillcolor="#c2d69b [1942]" strokecolor="#c2d69b [1942]" strokeweight="2pt"/>
                  <v:rect id="Rectangle 2" o:spid="_x0000_s1040" style="position:absolute;left:5343;top:17575;width:10124;height:79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" fillcolor="#9bbb59 [3206]" strokecolor="#9bbb59 [3206]" strokeweight="2pt"/>
                  <v:rect id="Rectangle 2" o:spid="_x0000_s1041" style="position:absolute;left:11637;top:8787;width:3529;height:781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" fillcolor="#eaf1dd [662]" strokecolor="#eaf1dd [662]" strokeweight="2pt"/>
                  <v:rect id="Rectangle 2" o:spid="_x0000_s1042" style="position:absolute;left:356;width:3226;height:789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" fillcolor="#eaf1dd [662]" strokecolor="#eaf1dd [662]" strokeweight="2pt"/>
                  <v:rect id="Rectangle 2" o:spid="_x0000_s1043" style="position:absolute;left:118;top:17694;width:4074;height:78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" fillcolor="#eaf1dd [662]" strokecolor="#eaf1dd [662]" strokeweight="2pt"/>
                  <v:rect id="Rectangle 2" o:spid="_x0000_s1044" style="position:absolute;top:26481;width:15162;height:2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" fillcolor="#4e6128 [1606]" strokecolor="#4e6128 [1606]" strokeweight="2pt"/>
                </v:group>
                <w10:wrap anchorx="margin"/>
              </v:group>
            </w:pict>
          </mc:Fallback>
        </mc:AlternateContent>
      </w:r>
    </w:p>
    <w:p w14:paraId="358AA704" w14:textId="6A1D9673" w:rsidR="00B224C7" w:rsidRDefault="00B224C7" w:rsidP="00507322">
      <w:pPr>
        <w:pStyle w:val="NoSpacing"/>
        <w:jc w:val="center"/>
        <w:rPr>
          <w:rFonts w:asciiTheme="majorHAnsi" w:hAnsiTheme="majorHAnsi" w:cstheme="majorHAnsi"/>
          <w:b/>
          <w:sz w:val="52"/>
          <w:szCs w:val="52"/>
        </w:rPr>
      </w:pPr>
    </w:p>
    <w:p w14:paraId="6DA50B18" w14:textId="4C2BEA12" w:rsidR="007651B1" w:rsidRDefault="007651B1" w:rsidP="00507322">
      <w:pPr>
        <w:pStyle w:val="NoSpacing"/>
        <w:jc w:val="center"/>
        <w:rPr>
          <w:rFonts w:asciiTheme="majorHAnsi" w:hAnsiTheme="majorHAnsi"/>
          <w:b/>
          <w:sz w:val="52"/>
          <w:szCs w:val="52"/>
        </w:rPr>
      </w:pPr>
    </w:p>
    <w:p w14:paraId="08572EB2" w14:textId="04AC2B5C" w:rsidR="007651B1" w:rsidRDefault="007651B1" w:rsidP="00507322">
      <w:pPr>
        <w:pStyle w:val="NoSpacing"/>
        <w:jc w:val="center"/>
        <w:rPr>
          <w:rFonts w:asciiTheme="majorHAnsi" w:hAnsiTheme="majorHAnsi"/>
          <w:b/>
          <w:sz w:val="52"/>
          <w:szCs w:val="52"/>
        </w:rPr>
      </w:pPr>
    </w:p>
    <w:p w14:paraId="0D792433" w14:textId="24D76E39" w:rsidR="007651B1" w:rsidRDefault="007651B1" w:rsidP="00507322">
      <w:pPr>
        <w:pStyle w:val="NoSpacing"/>
        <w:jc w:val="center"/>
        <w:rPr>
          <w:rFonts w:asciiTheme="majorHAnsi" w:hAnsiTheme="majorHAnsi"/>
          <w:b/>
          <w:sz w:val="52"/>
          <w:szCs w:val="52"/>
        </w:rPr>
      </w:pPr>
    </w:p>
    <w:p w14:paraId="5790E442" w14:textId="77777777" w:rsidR="007651B1" w:rsidRDefault="007651B1" w:rsidP="00507322">
      <w:pPr>
        <w:pStyle w:val="NoSpacing"/>
        <w:jc w:val="center"/>
        <w:rPr>
          <w:rFonts w:asciiTheme="majorHAnsi" w:hAnsiTheme="majorHAnsi"/>
          <w:b/>
          <w:sz w:val="52"/>
          <w:szCs w:val="52"/>
        </w:rPr>
      </w:pPr>
    </w:p>
    <w:p w14:paraId="26E7585C" w14:textId="77777777" w:rsidR="007651B1" w:rsidRDefault="007651B1" w:rsidP="00507322">
      <w:pPr>
        <w:pStyle w:val="NoSpacing"/>
        <w:jc w:val="center"/>
        <w:rPr>
          <w:rFonts w:asciiTheme="majorHAnsi" w:hAnsiTheme="majorHAnsi"/>
          <w:b/>
          <w:sz w:val="52"/>
          <w:szCs w:val="52"/>
        </w:rPr>
      </w:pPr>
    </w:p>
    <w:p w14:paraId="6E5D331B" w14:textId="58836AA1" w:rsidR="00B224C7" w:rsidRDefault="007651B1" w:rsidP="00507322">
      <w:pPr>
        <w:pStyle w:val="NoSpacing"/>
        <w:jc w:val="center"/>
        <w:rPr>
          <w:rFonts w:asciiTheme="majorHAnsi" w:hAnsiTheme="majorHAnsi" w:cstheme="majorHAnsi"/>
          <w:b/>
          <w:sz w:val="52"/>
          <w:szCs w:val="52"/>
        </w:rPr>
      </w:pPr>
      <w:r>
        <w:rPr>
          <w:rFonts w:asciiTheme="majorHAnsi" w:hAnsiTheme="majorHAnsi"/>
          <w:b/>
          <w:sz w:val="52"/>
          <w:szCs w:val="52"/>
        </w:rPr>
        <w:br/>
      </w:r>
      <w:r w:rsidR="00B224C7">
        <w:rPr>
          <w:rFonts w:asciiTheme="majorHAnsi" w:hAnsiTheme="majorHAnsi"/>
          <w:b/>
          <w:sz w:val="52"/>
          <w:szCs w:val="52"/>
        </w:rPr>
        <w:t>Kontributi Kombëtar i Përcaktuar i</w:t>
      </w:r>
      <w:r w:rsidR="00B224C7">
        <w:rPr>
          <w:rFonts w:asciiTheme="majorHAnsi" w:hAnsiTheme="majorHAnsi"/>
          <w:b/>
          <w:sz w:val="52"/>
          <w:szCs w:val="52"/>
        </w:rPr>
        <w:br/>
        <w:t>Shqipërisë</w:t>
      </w:r>
      <w:r w:rsidR="00B224C7">
        <w:rPr>
          <w:rFonts w:asciiTheme="majorHAnsi" w:hAnsiTheme="majorHAnsi"/>
          <w:b/>
          <w:sz w:val="52"/>
          <w:szCs w:val="52"/>
        </w:rPr>
        <w:br/>
        <w:t>3.0</w:t>
      </w:r>
    </w:p>
    <w:p w14:paraId="2E072BB4" w14:textId="77777777" w:rsidR="00A34F7E" w:rsidRDefault="00A34F7E" w:rsidP="00507322">
      <w:pPr>
        <w:pStyle w:val="NoSpacing"/>
        <w:jc w:val="center"/>
        <w:rPr>
          <w:rFonts w:asciiTheme="majorHAnsi" w:hAnsiTheme="majorHAnsi" w:cstheme="majorHAnsi"/>
          <w:b/>
          <w:sz w:val="52"/>
          <w:szCs w:val="52"/>
        </w:rPr>
      </w:pPr>
    </w:p>
    <w:p w14:paraId="02DC14B2" w14:textId="77777777" w:rsidR="00A34F7E" w:rsidRDefault="00A34F7E" w:rsidP="00507322">
      <w:pPr>
        <w:pStyle w:val="NoSpacing"/>
        <w:jc w:val="center"/>
        <w:rPr>
          <w:rFonts w:asciiTheme="majorHAnsi" w:hAnsiTheme="majorHAnsi" w:cstheme="majorHAnsi"/>
          <w:b/>
          <w:sz w:val="52"/>
          <w:szCs w:val="52"/>
        </w:rPr>
      </w:pPr>
    </w:p>
    <w:p w14:paraId="4F127238" w14:textId="77777777" w:rsidR="00A34F7E" w:rsidRDefault="00A34F7E" w:rsidP="00507322">
      <w:pPr>
        <w:pStyle w:val="NoSpacing"/>
        <w:jc w:val="center"/>
        <w:rPr>
          <w:rFonts w:asciiTheme="majorHAnsi" w:hAnsiTheme="majorHAnsi" w:cstheme="majorHAnsi"/>
          <w:b/>
          <w:sz w:val="52"/>
          <w:szCs w:val="52"/>
        </w:rPr>
      </w:pPr>
    </w:p>
    <w:p w14:paraId="73A53368" w14:textId="77777777" w:rsidR="00A34F7E" w:rsidRDefault="00A34F7E" w:rsidP="00507322">
      <w:pPr>
        <w:pStyle w:val="NoSpacing"/>
        <w:jc w:val="center"/>
        <w:rPr>
          <w:rFonts w:asciiTheme="majorHAnsi" w:hAnsiTheme="majorHAnsi" w:cstheme="majorHAnsi"/>
          <w:b/>
          <w:sz w:val="52"/>
          <w:szCs w:val="52"/>
        </w:rPr>
      </w:pPr>
    </w:p>
    <w:p w14:paraId="3385CB6C" w14:textId="77777777" w:rsidR="00A34F7E" w:rsidRDefault="00A34F7E" w:rsidP="00507322">
      <w:pPr>
        <w:pStyle w:val="NoSpacing"/>
        <w:jc w:val="center"/>
        <w:rPr>
          <w:rFonts w:asciiTheme="majorHAnsi" w:hAnsiTheme="majorHAnsi" w:cstheme="majorHAnsi"/>
          <w:b/>
          <w:sz w:val="52"/>
          <w:szCs w:val="52"/>
        </w:rPr>
      </w:pPr>
    </w:p>
    <w:p w14:paraId="6F291F22" w14:textId="77777777" w:rsidR="00A34F7E" w:rsidRDefault="00A34F7E" w:rsidP="00507322">
      <w:pPr>
        <w:pStyle w:val="NoSpacing"/>
        <w:jc w:val="center"/>
        <w:rPr>
          <w:rFonts w:asciiTheme="majorHAnsi" w:hAnsiTheme="majorHAnsi" w:cstheme="majorHAnsi"/>
          <w:b/>
          <w:sz w:val="52"/>
          <w:szCs w:val="52"/>
        </w:rPr>
      </w:pPr>
    </w:p>
    <w:p w14:paraId="0148DC6B" w14:textId="77777777" w:rsidR="007651B1" w:rsidRDefault="007651B1" w:rsidP="007651B1">
      <w:pPr>
        <w:pStyle w:val="NoSpacing"/>
        <w:rPr>
          <w:rFonts w:asciiTheme="majorHAnsi" w:hAnsiTheme="majorHAnsi"/>
          <w:b/>
          <w:sz w:val="22"/>
          <w:szCs w:val="22"/>
        </w:rPr>
      </w:pPr>
    </w:p>
    <w:p w14:paraId="28107BA5" w14:textId="77777777" w:rsidR="007651B1" w:rsidRDefault="007651B1" w:rsidP="00507322">
      <w:pPr>
        <w:pStyle w:val="NoSpacing"/>
        <w:jc w:val="center"/>
        <w:rPr>
          <w:rFonts w:asciiTheme="majorHAnsi" w:hAnsiTheme="majorHAnsi"/>
          <w:b/>
          <w:sz w:val="22"/>
          <w:szCs w:val="22"/>
        </w:rPr>
      </w:pPr>
    </w:p>
    <w:p w14:paraId="7020A74D" w14:textId="77777777" w:rsidR="007651B1" w:rsidRDefault="007651B1" w:rsidP="00507322">
      <w:pPr>
        <w:pStyle w:val="NoSpacing"/>
        <w:jc w:val="center"/>
        <w:rPr>
          <w:rFonts w:asciiTheme="majorHAnsi" w:hAnsiTheme="majorHAnsi"/>
          <w:b/>
          <w:sz w:val="22"/>
          <w:szCs w:val="22"/>
        </w:rPr>
      </w:pPr>
    </w:p>
    <w:p w14:paraId="524B94FE" w14:textId="77777777" w:rsidR="007651B1" w:rsidRDefault="007651B1" w:rsidP="00507322">
      <w:pPr>
        <w:pStyle w:val="NoSpacing"/>
        <w:jc w:val="center"/>
        <w:rPr>
          <w:rFonts w:asciiTheme="majorHAnsi" w:hAnsiTheme="majorHAnsi"/>
          <w:b/>
          <w:sz w:val="22"/>
          <w:szCs w:val="22"/>
        </w:rPr>
      </w:pPr>
    </w:p>
    <w:p w14:paraId="58B1376D" w14:textId="389FB23C" w:rsidR="00A34F7E" w:rsidRPr="00A34F7E" w:rsidRDefault="00BB1F36" w:rsidP="00507322">
      <w:pPr>
        <w:pStyle w:val="NoSpacing"/>
        <w:jc w:val="center"/>
        <w:rPr>
          <w:rFonts w:asciiTheme="majorHAnsi" w:hAnsiTheme="majorHAnsi" w:cstheme="majorHAnsi"/>
          <w:b/>
          <w:sz w:val="22"/>
          <w:szCs w:val="22"/>
        </w:rPr>
      </w:pPr>
      <w:r>
        <w:rPr>
          <w:rFonts w:asciiTheme="majorHAnsi" w:hAnsiTheme="majorHAnsi"/>
          <w:b/>
          <w:sz w:val="22"/>
          <w:szCs w:val="22"/>
        </w:rPr>
        <w:t>Nëntor 2025</w:t>
      </w:r>
    </w:p>
    <w:p w14:paraId="34C63CF6" w14:textId="77777777" w:rsidR="00AD7BC4" w:rsidRDefault="00AD7BC4">
      <w:pPr>
        <w:spacing w:before="0"/>
        <w:jc w:val="left"/>
        <w:rPr>
          <w:rFonts w:asciiTheme="majorHAnsi" w:hAnsiTheme="majorHAnsi" w:cstheme="majorHAnsi"/>
          <w:b/>
        </w:rPr>
      </w:pPr>
      <w:r>
        <w:br w:type="page"/>
      </w:r>
    </w:p>
    <w:p w14:paraId="34C63CF7" w14:textId="77777777" w:rsidR="00CA449B" w:rsidRPr="00420F06" w:rsidRDefault="00CA449B" w:rsidP="003F68FE">
      <w:pPr>
        <w:pStyle w:val="StyleHeading1Left0Firstline0"/>
        <w:numPr>
          <w:ilvl w:val="0"/>
          <w:numId w:val="0"/>
        </w:numPr>
        <w:tabs>
          <w:tab w:val="left" w:pos="6570"/>
        </w:tabs>
        <w:spacing w:before="0"/>
        <w:rPr>
          <w:rFonts w:asciiTheme="majorHAnsi" w:hAnsiTheme="majorHAnsi" w:cstheme="majorHAnsi"/>
        </w:rPr>
      </w:pPr>
      <w:bookmarkStart w:id="0" w:name="_Toc216778849"/>
      <w:r>
        <w:rPr>
          <w:rFonts w:asciiTheme="majorHAnsi" w:hAnsiTheme="majorHAnsi"/>
        </w:rPr>
        <w:lastRenderedPageBreak/>
        <w:t>Tabela e përmbajtjes</w:t>
      </w:r>
      <w:bookmarkEnd w:id="0"/>
    </w:p>
    <w:p w14:paraId="34C63CF8" w14:textId="0D5C5C72" w:rsidR="00CA449B" w:rsidRPr="00420F06" w:rsidRDefault="007A7665" w:rsidP="00376025">
      <w:pPr>
        <w:jc w:val="right"/>
        <w:rPr>
          <w:rFonts w:asciiTheme="majorHAnsi" w:hAnsiTheme="majorHAnsi" w:cstheme="majorHAnsi"/>
          <w:u w:val="single"/>
        </w:rPr>
      </w:pPr>
      <w:r>
        <w:rPr>
          <w:rFonts w:asciiTheme="majorHAnsi" w:hAnsiTheme="majorHAnsi"/>
          <w:u w:val="single"/>
        </w:rPr>
        <w:t>Faqja</w:t>
      </w:r>
    </w:p>
    <w:p w14:paraId="4F02FD73" w14:textId="254C0C87" w:rsidR="00E40703" w:rsidRDefault="00387652" w:rsidP="00E40703">
      <w:pPr>
        <w:pStyle w:val="TOC1"/>
        <w:rPr>
          <w:rFonts w:asciiTheme="minorHAnsi" w:eastAsiaTheme="minorEastAsia" w:hAnsiTheme="minorHAnsi" w:cstheme="minorBidi"/>
          <w:noProof/>
          <w:kern w:val="2"/>
          <w:lang w:val="en-US"/>
          <w14:ligatures w14:val="standardContextual"/>
        </w:rPr>
      </w:pPr>
      <w:r w:rsidRPr="00420F06">
        <w:rPr>
          <w:rFonts w:asciiTheme="majorHAnsi" w:hAnsiTheme="majorHAnsi" w:cstheme="majorHAnsi"/>
          <w:u w:val="single"/>
        </w:rPr>
        <w:fldChar w:fldCharType="begin"/>
      </w:r>
      <w:r w:rsidR="00CA449B" w:rsidRPr="00420F06">
        <w:rPr>
          <w:rFonts w:asciiTheme="majorHAnsi" w:hAnsiTheme="majorHAnsi" w:cstheme="majorHAnsi"/>
          <w:u w:val="single"/>
        </w:rPr>
        <w:instrText xml:space="preserve"> TOC \o "1-3" \h \z \u </w:instrText>
      </w:r>
      <w:r w:rsidRPr="00420F06">
        <w:rPr>
          <w:rFonts w:asciiTheme="majorHAnsi" w:hAnsiTheme="majorHAnsi" w:cstheme="majorHAnsi"/>
          <w:u w:val="single"/>
        </w:rPr>
        <w:fldChar w:fldCharType="separate"/>
      </w:r>
      <w:hyperlink w:anchor="_Toc216778849" w:history="1">
        <w:r w:rsidR="00E40703" w:rsidRPr="00615642">
          <w:rPr>
            <w:rStyle w:val="Hyperlink"/>
            <w:rFonts w:asciiTheme="majorHAnsi" w:hAnsiTheme="majorHAnsi"/>
            <w:noProof/>
          </w:rPr>
          <w:t>Tabela e përmbajtjes</w:t>
        </w:r>
        <w:r w:rsidR="00E40703">
          <w:rPr>
            <w:noProof/>
            <w:webHidden/>
          </w:rPr>
          <w:tab/>
        </w:r>
        <w:r w:rsidR="00E40703">
          <w:rPr>
            <w:noProof/>
            <w:webHidden/>
          </w:rPr>
          <w:fldChar w:fldCharType="begin"/>
        </w:r>
        <w:r w:rsidR="00E40703">
          <w:rPr>
            <w:noProof/>
            <w:webHidden/>
          </w:rPr>
          <w:instrText xml:space="preserve"> PAGEREF _Toc216778849 \h </w:instrText>
        </w:r>
        <w:r w:rsidR="00E40703">
          <w:rPr>
            <w:noProof/>
            <w:webHidden/>
          </w:rPr>
        </w:r>
        <w:r w:rsidR="00E40703">
          <w:rPr>
            <w:noProof/>
            <w:webHidden/>
          </w:rPr>
          <w:fldChar w:fldCharType="separate"/>
        </w:r>
        <w:r w:rsidR="00E40703">
          <w:rPr>
            <w:noProof/>
            <w:webHidden/>
          </w:rPr>
          <w:t>ii</w:t>
        </w:r>
        <w:r w:rsidR="00E40703">
          <w:rPr>
            <w:noProof/>
            <w:webHidden/>
          </w:rPr>
          <w:fldChar w:fldCharType="end"/>
        </w:r>
      </w:hyperlink>
    </w:p>
    <w:p w14:paraId="40C1F2A1" w14:textId="3C97AF7F" w:rsidR="00E40703" w:rsidRDefault="00E40703" w:rsidP="00E40703">
      <w:pPr>
        <w:pStyle w:val="TOC1"/>
        <w:rPr>
          <w:rFonts w:asciiTheme="minorHAnsi" w:eastAsiaTheme="minorEastAsia" w:hAnsiTheme="minorHAnsi" w:cstheme="minorBidi"/>
          <w:noProof/>
          <w:kern w:val="2"/>
          <w:lang w:val="en-US"/>
          <w14:ligatures w14:val="standardContextual"/>
        </w:rPr>
      </w:pPr>
      <w:hyperlink w:anchor="_Toc216778850" w:history="1">
        <w:r w:rsidRPr="00615642">
          <w:rPr>
            <w:rStyle w:val="Hyperlink"/>
            <w:rFonts w:ascii="Calibri" w:hAnsi="Calibri"/>
            <w:noProof/>
          </w:rPr>
          <w:t>Akronime</w:t>
        </w:r>
        <w:r>
          <w:rPr>
            <w:noProof/>
            <w:webHidden/>
          </w:rPr>
          <w:tab/>
        </w:r>
        <w:r>
          <w:rPr>
            <w:noProof/>
            <w:webHidden/>
          </w:rPr>
          <w:fldChar w:fldCharType="begin"/>
        </w:r>
        <w:r>
          <w:rPr>
            <w:noProof/>
            <w:webHidden/>
          </w:rPr>
          <w:instrText xml:space="preserve"> PAGEREF _Toc216778850 \h </w:instrText>
        </w:r>
        <w:r>
          <w:rPr>
            <w:noProof/>
            <w:webHidden/>
          </w:rPr>
        </w:r>
        <w:r>
          <w:rPr>
            <w:noProof/>
            <w:webHidden/>
          </w:rPr>
          <w:fldChar w:fldCharType="separate"/>
        </w:r>
        <w:r>
          <w:rPr>
            <w:noProof/>
            <w:webHidden/>
          </w:rPr>
          <w:t>iv</w:t>
        </w:r>
        <w:r>
          <w:rPr>
            <w:noProof/>
            <w:webHidden/>
          </w:rPr>
          <w:fldChar w:fldCharType="end"/>
        </w:r>
      </w:hyperlink>
    </w:p>
    <w:p w14:paraId="6B85D9C3" w14:textId="4F564510" w:rsidR="00E40703" w:rsidRDefault="00E40703" w:rsidP="00E40703">
      <w:pPr>
        <w:pStyle w:val="TOC1"/>
        <w:rPr>
          <w:rFonts w:asciiTheme="minorHAnsi" w:eastAsiaTheme="minorEastAsia" w:hAnsiTheme="minorHAnsi" w:cstheme="minorBidi"/>
          <w:noProof/>
          <w:kern w:val="2"/>
          <w:lang w:val="en-US"/>
          <w14:ligatures w14:val="standardContextual"/>
        </w:rPr>
      </w:pPr>
      <w:hyperlink w:anchor="_Toc216778851" w:history="1">
        <w:r w:rsidRPr="00615642">
          <w:rPr>
            <w:rStyle w:val="Hyperlink"/>
            <w:rFonts w:asciiTheme="majorHAnsi" w:hAnsiTheme="majorHAnsi"/>
            <w:noProof/>
          </w:rPr>
          <w:t>Lista e tabelave</w:t>
        </w:r>
        <w:r>
          <w:rPr>
            <w:noProof/>
            <w:webHidden/>
          </w:rPr>
          <w:tab/>
        </w:r>
        <w:r>
          <w:rPr>
            <w:noProof/>
            <w:webHidden/>
          </w:rPr>
          <w:fldChar w:fldCharType="begin"/>
        </w:r>
        <w:r>
          <w:rPr>
            <w:noProof/>
            <w:webHidden/>
          </w:rPr>
          <w:instrText xml:space="preserve"> PAGEREF _Toc216778851 \h </w:instrText>
        </w:r>
        <w:r>
          <w:rPr>
            <w:noProof/>
            <w:webHidden/>
          </w:rPr>
        </w:r>
        <w:r>
          <w:rPr>
            <w:noProof/>
            <w:webHidden/>
          </w:rPr>
          <w:fldChar w:fldCharType="separate"/>
        </w:r>
        <w:r>
          <w:rPr>
            <w:noProof/>
            <w:webHidden/>
          </w:rPr>
          <w:t>vi</w:t>
        </w:r>
        <w:r>
          <w:rPr>
            <w:noProof/>
            <w:webHidden/>
          </w:rPr>
          <w:fldChar w:fldCharType="end"/>
        </w:r>
      </w:hyperlink>
    </w:p>
    <w:p w14:paraId="08FFEE6D" w14:textId="2C014DF5" w:rsidR="00E40703" w:rsidRDefault="00E40703" w:rsidP="00E40703">
      <w:pPr>
        <w:pStyle w:val="TOC1"/>
        <w:rPr>
          <w:rFonts w:asciiTheme="minorHAnsi" w:eastAsiaTheme="minorEastAsia" w:hAnsiTheme="minorHAnsi" w:cstheme="minorBidi"/>
          <w:noProof/>
          <w:kern w:val="2"/>
          <w:lang w:val="en-US"/>
          <w14:ligatures w14:val="standardContextual"/>
        </w:rPr>
      </w:pPr>
      <w:hyperlink w:anchor="_Toc216778852" w:history="1">
        <w:r w:rsidRPr="00615642">
          <w:rPr>
            <w:rStyle w:val="Hyperlink"/>
            <w:rFonts w:asciiTheme="majorHAnsi" w:hAnsiTheme="majorHAnsi"/>
            <w:noProof/>
          </w:rPr>
          <w:t>Lista e figurave</w:t>
        </w:r>
        <w:r>
          <w:rPr>
            <w:noProof/>
            <w:webHidden/>
          </w:rPr>
          <w:tab/>
        </w:r>
        <w:r>
          <w:rPr>
            <w:noProof/>
            <w:webHidden/>
          </w:rPr>
          <w:fldChar w:fldCharType="begin"/>
        </w:r>
        <w:r>
          <w:rPr>
            <w:noProof/>
            <w:webHidden/>
          </w:rPr>
          <w:instrText xml:space="preserve"> PAGEREF _Toc216778852 \h </w:instrText>
        </w:r>
        <w:r>
          <w:rPr>
            <w:noProof/>
            <w:webHidden/>
          </w:rPr>
        </w:r>
        <w:r>
          <w:rPr>
            <w:noProof/>
            <w:webHidden/>
          </w:rPr>
          <w:fldChar w:fldCharType="separate"/>
        </w:r>
        <w:r>
          <w:rPr>
            <w:noProof/>
            <w:webHidden/>
          </w:rPr>
          <w:t>vi</w:t>
        </w:r>
        <w:r>
          <w:rPr>
            <w:noProof/>
            <w:webHidden/>
          </w:rPr>
          <w:fldChar w:fldCharType="end"/>
        </w:r>
      </w:hyperlink>
    </w:p>
    <w:p w14:paraId="5D6A8451" w14:textId="4DDA303A" w:rsidR="00E40703" w:rsidRDefault="00E40703" w:rsidP="00E40703">
      <w:pPr>
        <w:pStyle w:val="TOC1"/>
        <w:rPr>
          <w:rFonts w:asciiTheme="minorHAnsi" w:eastAsiaTheme="minorEastAsia" w:hAnsiTheme="minorHAnsi" w:cstheme="minorBidi"/>
          <w:noProof/>
          <w:kern w:val="2"/>
          <w:lang w:val="en-US"/>
          <w14:ligatures w14:val="standardContextual"/>
        </w:rPr>
      </w:pPr>
      <w:hyperlink w:anchor="_Toc216778853" w:history="1">
        <w:r w:rsidRPr="00615642">
          <w:rPr>
            <w:rStyle w:val="Hyperlink"/>
            <w:rFonts w:asciiTheme="majorHAnsi" w:hAnsiTheme="majorHAnsi" w:cstheme="majorHAnsi"/>
            <w:noProof/>
          </w:rPr>
          <w:t>1.</w:t>
        </w:r>
        <w:r>
          <w:rPr>
            <w:rFonts w:asciiTheme="minorHAnsi" w:eastAsiaTheme="minorEastAsia" w:hAnsiTheme="minorHAnsi" w:cstheme="minorBidi"/>
            <w:noProof/>
            <w:kern w:val="2"/>
            <w:lang w:val="en-US"/>
            <w14:ligatures w14:val="standardContextual"/>
          </w:rPr>
          <w:tab/>
        </w:r>
        <w:r w:rsidRPr="00615642">
          <w:rPr>
            <w:rStyle w:val="Hyperlink"/>
            <w:rFonts w:asciiTheme="majorHAnsi" w:hAnsiTheme="majorHAnsi"/>
            <w:noProof/>
          </w:rPr>
          <w:t>Përmbledhje</w:t>
        </w:r>
        <w:r>
          <w:rPr>
            <w:noProof/>
            <w:webHidden/>
          </w:rPr>
          <w:tab/>
        </w:r>
        <w:r>
          <w:rPr>
            <w:noProof/>
            <w:webHidden/>
          </w:rPr>
          <w:fldChar w:fldCharType="begin"/>
        </w:r>
        <w:r>
          <w:rPr>
            <w:noProof/>
            <w:webHidden/>
          </w:rPr>
          <w:instrText xml:space="preserve"> PAGEREF _Toc216778853 \h </w:instrText>
        </w:r>
        <w:r>
          <w:rPr>
            <w:noProof/>
            <w:webHidden/>
          </w:rPr>
        </w:r>
        <w:r>
          <w:rPr>
            <w:noProof/>
            <w:webHidden/>
          </w:rPr>
          <w:fldChar w:fldCharType="separate"/>
        </w:r>
        <w:r>
          <w:rPr>
            <w:noProof/>
            <w:webHidden/>
          </w:rPr>
          <w:t>7</w:t>
        </w:r>
        <w:r>
          <w:rPr>
            <w:noProof/>
            <w:webHidden/>
          </w:rPr>
          <w:fldChar w:fldCharType="end"/>
        </w:r>
      </w:hyperlink>
    </w:p>
    <w:p w14:paraId="5A630485" w14:textId="29B49487" w:rsidR="00E40703" w:rsidRDefault="00E40703" w:rsidP="00E40703">
      <w:pPr>
        <w:pStyle w:val="TOC1"/>
        <w:rPr>
          <w:rFonts w:asciiTheme="minorHAnsi" w:eastAsiaTheme="minorEastAsia" w:hAnsiTheme="minorHAnsi" w:cstheme="minorBidi"/>
          <w:noProof/>
          <w:kern w:val="2"/>
          <w:lang w:val="en-US"/>
          <w14:ligatures w14:val="standardContextual"/>
        </w:rPr>
      </w:pPr>
      <w:hyperlink w:anchor="_Toc216778854" w:history="1">
        <w:r w:rsidRPr="00615642">
          <w:rPr>
            <w:rStyle w:val="Hyperlink"/>
            <w:rFonts w:asciiTheme="majorHAnsi" w:hAnsiTheme="majorHAnsi" w:cstheme="majorHAnsi"/>
            <w:noProof/>
          </w:rPr>
          <w:t>2.</w:t>
        </w:r>
        <w:r>
          <w:rPr>
            <w:rFonts w:asciiTheme="minorHAnsi" w:eastAsiaTheme="minorEastAsia" w:hAnsiTheme="minorHAnsi" w:cstheme="minorBidi"/>
            <w:noProof/>
            <w:kern w:val="2"/>
            <w:lang w:val="en-US"/>
            <w14:ligatures w14:val="standardContextual"/>
          </w:rPr>
          <w:tab/>
        </w:r>
        <w:r w:rsidRPr="00615642">
          <w:rPr>
            <w:rStyle w:val="Hyperlink"/>
            <w:rFonts w:asciiTheme="majorHAnsi" w:hAnsiTheme="majorHAnsi"/>
            <w:noProof/>
          </w:rPr>
          <w:t>Përmbledhje e zhvillimeve procedurale</w:t>
        </w:r>
        <w:r>
          <w:rPr>
            <w:noProof/>
            <w:webHidden/>
          </w:rPr>
          <w:tab/>
        </w:r>
        <w:r>
          <w:rPr>
            <w:noProof/>
            <w:webHidden/>
          </w:rPr>
          <w:fldChar w:fldCharType="begin"/>
        </w:r>
        <w:r>
          <w:rPr>
            <w:noProof/>
            <w:webHidden/>
          </w:rPr>
          <w:instrText xml:space="preserve"> PAGEREF _Toc216778854 \h </w:instrText>
        </w:r>
        <w:r>
          <w:rPr>
            <w:noProof/>
            <w:webHidden/>
          </w:rPr>
        </w:r>
        <w:r>
          <w:rPr>
            <w:noProof/>
            <w:webHidden/>
          </w:rPr>
          <w:fldChar w:fldCharType="separate"/>
        </w:r>
        <w:r>
          <w:rPr>
            <w:noProof/>
            <w:webHidden/>
          </w:rPr>
          <w:t>8</w:t>
        </w:r>
        <w:r>
          <w:rPr>
            <w:noProof/>
            <w:webHidden/>
          </w:rPr>
          <w:fldChar w:fldCharType="end"/>
        </w:r>
      </w:hyperlink>
    </w:p>
    <w:p w14:paraId="23B14E24" w14:textId="564C206B" w:rsidR="00E40703" w:rsidRDefault="00E40703" w:rsidP="00E40703">
      <w:pPr>
        <w:pStyle w:val="TOC1"/>
        <w:rPr>
          <w:rFonts w:asciiTheme="minorHAnsi" w:eastAsiaTheme="minorEastAsia" w:hAnsiTheme="minorHAnsi" w:cstheme="minorBidi"/>
          <w:noProof/>
          <w:kern w:val="2"/>
          <w:lang w:val="en-US"/>
          <w14:ligatures w14:val="standardContextual"/>
        </w:rPr>
      </w:pPr>
      <w:hyperlink w:anchor="_Toc216778855" w:history="1">
        <w:r w:rsidRPr="00615642">
          <w:rPr>
            <w:rStyle w:val="Hyperlink"/>
            <w:rFonts w:asciiTheme="majorHAnsi" w:hAnsiTheme="majorHAnsi" w:cstheme="majorHAnsi"/>
            <w:noProof/>
          </w:rPr>
          <w:t>3.</w:t>
        </w:r>
        <w:r>
          <w:rPr>
            <w:rFonts w:asciiTheme="minorHAnsi" w:eastAsiaTheme="minorEastAsia" w:hAnsiTheme="minorHAnsi" w:cstheme="minorBidi"/>
            <w:noProof/>
            <w:kern w:val="2"/>
            <w:lang w:val="en-US"/>
            <w14:ligatures w14:val="standardContextual"/>
          </w:rPr>
          <w:tab/>
        </w:r>
        <w:r w:rsidRPr="00615642">
          <w:rPr>
            <w:rStyle w:val="Hyperlink"/>
            <w:rFonts w:asciiTheme="majorHAnsi" w:hAnsiTheme="majorHAnsi"/>
            <w:noProof/>
          </w:rPr>
          <w:t>Rrethanat kombëtare</w:t>
        </w:r>
        <w:r>
          <w:rPr>
            <w:noProof/>
            <w:webHidden/>
          </w:rPr>
          <w:tab/>
        </w:r>
        <w:r>
          <w:rPr>
            <w:noProof/>
            <w:webHidden/>
          </w:rPr>
          <w:fldChar w:fldCharType="begin"/>
        </w:r>
        <w:r>
          <w:rPr>
            <w:noProof/>
            <w:webHidden/>
          </w:rPr>
          <w:instrText xml:space="preserve"> PAGEREF _Toc216778855 \h </w:instrText>
        </w:r>
        <w:r>
          <w:rPr>
            <w:noProof/>
            <w:webHidden/>
          </w:rPr>
        </w:r>
        <w:r>
          <w:rPr>
            <w:noProof/>
            <w:webHidden/>
          </w:rPr>
          <w:fldChar w:fldCharType="separate"/>
        </w:r>
        <w:r>
          <w:rPr>
            <w:noProof/>
            <w:webHidden/>
          </w:rPr>
          <w:t>11</w:t>
        </w:r>
        <w:r>
          <w:rPr>
            <w:noProof/>
            <w:webHidden/>
          </w:rPr>
          <w:fldChar w:fldCharType="end"/>
        </w:r>
      </w:hyperlink>
    </w:p>
    <w:p w14:paraId="640F7D2A" w14:textId="13D0CF35" w:rsidR="00E40703" w:rsidRDefault="00E40703" w:rsidP="00E40703">
      <w:pPr>
        <w:pStyle w:val="TOC1"/>
        <w:rPr>
          <w:rFonts w:asciiTheme="minorHAnsi" w:eastAsiaTheme="minorEastAsia" w:hAnsiTheme="minorHAnsi" w:cstheme="minorBidi"/>
          <w:noProof/>
          <w:kern w:val="2"/>
          <w:lang w:val="en-US"/>
          <w14:ligatures w14:val="standardContextual"/>
        </w:rPr>
      </w:pPr>
      <w:hyperlink w:anchor="_Toc216778856" w:history="1">
        <w:r w:rsidRPr="00615642">
          <w:rPr>
            <w:rStyle w:val="Hyperlink"/>
            <w:rFonts w:asciiTheme="majorHAnsi" w:hAnsiTheme="majorHAnsi" w:cstheme="majorHAnsi"/>
            <w:noProof/>
          </w:rPr>
          <w:t>4.</w:t>
        </w:r>
        <w:r>
          <w:rPr>
            <w:rFonts w:asciiTheme="minorHAnsi" w:eastAsiaTheme="minorEastAsia" w:hAnsiTheme="minorHAnsi" w:cstheme="minorBidi"/>
            <w:noProof/>
            <w:kern w:val="2"/>
            <w:lang w:val="en-US"/>
            <w14:ligatures w14:val="standardContextual"/>
          </w:rPr>
          <w:tab/>
        </w:r>
        <w:r w:rsidRPr="00615642">
          <w:rPr>
            <w:rStyle w:val="Hyperlink"/>
            <w:rFonts w:asciiTheme="majorHAnsi" w:hAnsiTheme="majorHAnsi"/>
            <w:noProof/>
          </w:rPr>
          <w:t>Zbutja</w:t>
        </w:r>
        <w:r>
          <w:rPr>
            <w:noProof/>
            <w:webHidden/>
          </w:rPr>
          <w:tab/>
        </w:r>
        <w:r>
          <w:rPr>
            <w:noProof/>
            <w:webHidden/>
          </w:rPr>
          <w:fldChar w:fldCharType="begin"/>
        </w:r>
        <w:r>
          <w:rPr>
            <w:noProof/>
            <w:webHidden/>
          </w:rPr>
          <w:instrText xml:space="preserve"> PAGEREF _Toc216778856 \h </w:instrText>
        </w:r>
        <w:r>
          <w:rPr>
            <w:noProof/>
            <w:webHidden/>
          </w:rPr>
        </w:r>
        <w:r>
          <w:rPr>
            <w:noProof/>
            <w:webHidden/>
          </w:rPr>
          <w:fldChar w:fldCharType="separate"/>
        </w:r>
        <w:r>
          <w:rPr>
            <w:noProof/>
            <w:webHidden/>
          </w:rPr>
          <w:t>16</w:t>
        </w:r>
        <w:r>
          <w:rPr>
            <w:noProof/>
            <w:webHidden/>
          </w:rPr>
          <w:fldChar w:fldCharType="end"/>
        </w:r>
      </w:hyperlink>
    </w:p>
    <w:p w14:paraId="4141960A" w14:textId="29DA3D36"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57" w:history="1">
        <w:r w:rsidRPr="00615642">
          <w:rPr>
            <w:rStyle w:val="Hyperlink"/>
            <w:rFonts w:asciiTheme="majorHAnsi" w:hAnsiTheme="majorHAnsi"/>
            <w:noProof/>
          </w:rPr>
          <w:t>4.1 Objektivi për zbutjen në KKP 3.0</w:t>
        </w:r>
        <w:r>
          <w:rPr>
            <w:noProof/>
            <w:webHidden/>
          </w:rPr>
          <w:tab/>
        </w:r>
        <w:r>
          <w:rPr>
            <w:noProof/>
            <w:webHidden/>
          </w:rPr>
          <w:fldChar w:fldCharType="begin"/>
        </w:r>
        <w:r>
          <w:rPr>
            <w:noProof/>
            <w:webHidden/>
          </w:rPr>
          <w:instrText xml:space="preserve"> PAGEREF _Toc216778857 \h </w:instrText>
        </w:r>
        <w:r>
          <w:rPr>
            <w:noProof/>
            <w:webHidden/>
          </w:rPr>
        </w:r>
        <w:r>
          <w:rPr>
            <w:noProof/>
            <w:webHidden/>
          </w:rPr>
          <w:fldChar w:fldCharType="separate"/>
        </w:r>
        <w:r>
          <w:rPr>
            <w:noProof/>
            <w:webHidden/>
          </w:rPr>
          <w:t>16</w:t>
        </w:r>
        <w:r>
          <w:rPr>
            <w:noProof/>
            <w:webHidden/>
          </w:rPr>
          <w:fldChar w:fldCharType="end"/>
        </w:r>
      </w:hyperlink>
    </w:p>
    <w:p w14:paraId="0C25D90C" w14:textId="0AB7D9A1"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58" w:history="1">
        <w:r w:rsidRPr="00615642">
          <w:rPr>
            <w:rStyle w:val="Hyperlink"/>
            <w:rFonts w:asciiTheme="majorHAnsi" w:hAnsiTheme="majorHAnsi"/>
            <w:noProof/>
          </w:rPr>
          <w:t>4.2 Krahasimi me objektivin e mëparshëm të KKP-së</w:t>
        </w:r>
        <w:r>
          <w:rPr>
            <w:noProof/>
            <w:webHidden/>
          </w:rPr>
          <w:tab/>
        </w:r>
        <w:r>
          <w:rPr>
            <w:noProof/>
            <w:webHidden/>
          </w:rPr>
          <w:fldChar w:fldCharType="begin"/>
        </w:r>
        <w:r>
          <w:rPr>
            <w:noProof/>
            <w:webHidden/>
          </w:rPr>
          <w:instrText xml:space="preserve"> PAGEREF _Toc216778858 \h </w:instrText>
        </w:r>
        <w:r>
          <w:rPr>
            <w:noProof/>
            <w:webHidden/>
          </w:rPr>
        </w:r>
        <w:r>
          <w:rPr>
            <w:noProof/>
            <w:webHidden/>
          </w:rPr>
          <w:fldChar w:fldCharType="separate"/>
        </w:r>
        <w:r>
          <w:rPr>
            <w:noProof/>
            <w:webHidden/>
          </w:rPr>
          <w:t>17</w:t>
        </w:r>
        <w:r>
          <w:rPr>
            <w:noProof/>
            <w:webHidden/>
          </w:rPr>
          <w:fldChar w:fldCharType="end"/>
        </w:r>
      </w:hyperlink>
    </w:p>
    <w:p w14:paraId="23046BEA" w14:textId="7C5E92CB"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59" w:history="1">
        <w:r w:rsidRPr="00615642">
          <w:rPr>
            <w:rStyle w:val="Hyperlink"/>
            <w:rFonts w:asciiTheme="majorHAnsi" w:hAnsiTheme="majorHAnsi"/>
            <w:noProof/>
          </w:rPr>
          <w:t>4.3 Projeksioni i shkarkimeve dhe përthithjeve të GES-ve</w:t>
        </w:r>
        <w:r>
          <w:rPr>
            <w:noProof/>
            <w:webHidden/>
          </w:rPr>
          <w:tab/>
        </w:r>
        <w:r>
          <w:rPr>
            <w:noProof/>
            <w:webHidden/>
          </w:rPr>
          <w:fldChar w:fldCharType="begin"/>
        </w:r>
        <w:r>
          <w:rPr>
            <w:noProof/>
            <w:webHidden/>
          </w:rPr>
          <w:instrText xml:space="preserve"> PAGEREF _Toc216778859 \h </w:instrText>
        </w:r>
        <w:r>
          <w:rPr>
            <w:noProof/>
            <w:webHidden/>
          </w:rPr>
        </w:r>
        <w:r>
          <w:rPr>
            <w:noProof/>
            <w:webHidden/>
          </w:rPr>
          <w:fldChar w:fldCharType="separate"/>
        </w:r>
        <w:r>
          <w:rPr>
            <w:noProof/>
            <w:webHidden/>
          </w:rPr>
          <w:t>18</w:t>
        </w:r>
        <w:r>
          <w:rPr>
            <w:noProof/>
            <w:webHidden/>
          </w:rPr>
          <w:fldChar w:fldCharType="end"/>
        </w:r>
      </w:hyperlink>
    </w:p>
    <w:p w14:paraId="7BACBF94" w14:textId="52EC3120"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60" w:history="1">
        <w:r w:rsidRPr="00615642">
          <w:rPr>
            <w:rStyle w:val="Hyperlink"/>
            <w:rFonts w:asciiTheme="majorHAnsi" w:hAnsiTheme="majorHAnsi"/>
            <w:noProof/>
          </w:rPr>
          <w:t>4.4 Veprimet për zbutjen</w:t>
        </w:r>
        <w:r>
          <w:rPr>
            <w:noProof/>
            <w:webHidden/>
          </w:rPr>
          <w:tab/>
        </w:r>
        <w:r>
          <w:rPr>
            <w:noProof/>
            <w:webHidden/>
          </w:rPr>
          <w:fldChar w:fldCharType="begin"/>
        </w:r>
        <w:r>
          <w:rPr>
            <w:noProof/>
            <w:webHidden/>
          </w:rPr>
          <w:instrText xml:space="preserve"> PAGEREF _Toc216778860 \h </w:instrText>
        </w:r>
        <w:r>
          <w:rPr>
            <w:noProof/>
            <w:webHidden/>
          </w:rPr>
        </w:r>
        <w:r>
          <w:rPr>
            <w:noProof/>
            <w:webHidden/>
          </w:rPr>
          <w:fldChar w:fldCharType="separate"/>
        </w:r>
        <w:r>
          <w:rPr>
            <w:noProof/>
            <w:webHidden/>
          </w:rPr>
          <w:t>22</w:t>
        </w:r>
        <w:r>
          <w:rPr>
            <w:noProof/>
            <w:webHidden/>
          </w:rPr>
          <w:fldChar w:fldCharType="end"/>
        </w:r>
      </w:hyperlink>
    </w:p>
    <w:p w14:paraId="2D3E8D39" w14:textId="1B4B9DE5"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61" w:history="1">
        <w:r w:rsidRPr="00615642">
          <w:rPr>
            <w:rStyle w:val="Hyperlink"/>
            <w:rFonts w:asciiTheme="majorHAnsi" w:hAnsiTheme="majorHAnsi"/>
            <w:noProof/>
          </w:rPr>
          <w:t>4.5 Financimi i përllogaritur për masat zbutëse</w:t>
        </w:r>
        <w:r>
          <w:rPr>
            <w:noProof/>
            <w:webHidden/>
          </w:rPr>
          <w:tab/>
        </w:r>
        <w:r>
          <w:rPr>
            <w:noProof/>
            <w:webHidden/>
          </w:rPr>
          <w:fldChar w:fldCharType="begin"/>
        </w:r>
        <w:r>
          <w:rPr>
            <w:noProof/>
            <w:webHidden/>
          </w:rPr>
          <w:instrText xml:space="preserve"> PAGEREF _Toc216778861 \h </w:instrText>
        </w:r>
        <w:r>
          <w:rPr>
            <w:noProof/>
            <w:webHidden/>
          </w:rPr>
        </w:r>
        <w:r>
          <w:rPr>
            <w:noProof/>
            <w:webHidden/>
          </w:rPr>
          <w:fldChar w:fldCharType="separate"/>
        </w:r>
        <w:r>
          <w:rPr>
            <w:noProof/>
            <w:webHidden/>
          </w:rPr>
          <w:t>33</w:t>
        </w:r>
        <w:r>
          <w:rPr>
            <w:noProof/>
            <w:webHidden/>
          </w:rPr>
          <w:fldChar w:fldCharType="end"/>
        </w:r>
      </w:hyperlink>
    </w:p>
    <w:p w14:paraId="53BC924E" w14:textId="5B3C7DBB" w:rsidR="00E40703" w:rsidRDefault="00E40703" w:rsidP="00E40703">
      <w:pPr>
        <w:pStyle w:val="TOC1"/>
        <w:rPr>
          <w:rFonts w:asciiTheme="minorHAnsi" w:eastAsiaTheme="minorEastAsia" w:hAnsiTheme="minorHAnsi" w:cstheme="minorBidi"/>
          <w:noProof/>
          <w:kern w:val="2"/>
          <w:lang w:val="en-US"/>
          <w14:ligatures w14:val="standardContextual"/>
        </w:rPr>
      </w:pPr>
      <w:hyperlink w:anchor="_Toc216778862" w:history="1">
        <w:r w:rsidRPr="00615642">
          <w:rPr>
            <w:rStyle w:val="Hyperlink"/>
            <w:rFonts w:asciiTheme="majorHAnsi" w:hAnsiTheme="majorHAnsi" w:cstheme="majorHAnsi"/>
            <w:noProof/>
          </w:rPr>
          <w:t>5.</w:t>
        </w:r>
        <w:r>
          <w:rPr>
            <w:rFonts w:asciiTheme="minorHAnsi" w:eastAsiaTheme="minorEastAsia" w:hAnsiTheme="minorHAnsi" w:cstheme="minorBidi"/>
            <w:noProof/>
            <w:kern w:val="2"/>
            <w:lang w:val="en-US"/>
            <w14:ligatures w14:val="standardContextual"/>
          </w:rPr>
          <w:tab/>
        </w:r>
        <w:r w:rsidRPr="00615642">
          <w:rPr>
            <w:rStyle w:val="Hyperlink"/>
            <w:rFonts w:asciiTheme="majorHAnsi" w:hAnsiTheme="majorHAnsi"/>
            <w:noProof/>
          </w:rPr>
          <w:t>Përshtatja</w:t>
        </w:r>
        <w:r>
          <w:rPr>
            <w:noProof/>
            <w:webHidden/>
          </w:rPr>
          <w:tab/>
        </w:r>
        <w:r>
          <w:rPr>
            <w:noProof/>
            <w:webHidden/>
          </w:rPr>
          <w:fldChar w:fldCharType="begin"/>
        </w:r>
        <w:r>
          <w:rPr>
            <w:noProof/>
            <w:webHidden/>
          </w:rPr>
          <w:instrText xml:space="preserve"> PAGEREF _Toc216778862 \h </w:instrText>
        </w:r>
        <w:r>
          <w:rPr>
            <w:noProof/>
            <w:webHidden/>
          </w:rPr>
        </w:r>
        <w:r>
          <w:rPr>
            <w:noProof/>
            <w:webHidden/>
          </w:rPr>
          <w:fldChar w:fldCharType="separate"/>
        </w:r>
        <w:r>
          <w:rPr>
            <w:noProof/>
            <w:webHidden/>
          </w:rPr>
          <w:t>35</w:t>
        </w:r>
        <w:r>
          <w:rPr>
            <w:noProof/>
            <w:webHidden/>
          </w:rPr>
          <w:fldChar w:fldCharType="end"/>
        </w:r>
      </w:hyperlink>
    </w:p>
    <w:p w14:paraId="0445A8EF" w14:textId="18B0BC6C"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63" w:history="1">
        <w:r w:rsidRPr="00615642">
          <w:rPr>
            <w:rStyle w:val="Hyperlink"/>
            <w:rFonts w:asciiTheme="majorHAnsi" w:hAnsiTheme="majorHAnsi"/>
            <w:noProof/>
          </w:rPr>
          <w:t>5.1. Sektorët prioritarë - Konteksti</w:t>
        </w:r>
        <w:r>
          <w:rPr>
            <w:noProof/>
            <w:webHidden/>
          </w:rPr>
          <w:tab/>
        </w:r>
        <w:r>
          <w:rPr>
            <w:noProof/>
            <w:webHidden/>
          </w:rPr>
          <w:fldChar w:fldCharType="begin"/>
        </w:r>
        <w:r>
          <w:rPr>
            <w:noProof/>
            <w:webHidden/>
          </w:rPr>
          <w:instrText xml:space="preserve"> PAGEREF _Toc216778863 \h </w:instrText>
        </w:r>
        <w:r>
          <w:rPr>
            <w:noProof/>
            <w:webHidden/>
          </w:rPr>
        </w:r>
        <w:r>
          <w:rPr>
            <w:noProof/>
            <w:webHidden/>
          </w:rPr>
          <w:fldChar w:fldCharType="separate"/>
        </w:r>
        <w:r>
          <w:rPr>
            <w:noProof/>
            <w:webHidden/>
          </w:rPr>
          <w:t>35</w:t>
        </w:r>
        <w:r>
          <w:rPr>
            <w:noProof/>
            <w:webHidden/>
          </w:rPr>
          <w:fldChar w:fldCharType="end"/>
        </w:r>
      </w:hyperlink>
    </w:p>
    <w:p w14:paraId="7F6E9031" w14:textId="61D595DD"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64" w:history="1">
        <w:r w:rsidRPr="00615642">
          <w:rPr>
            <w:rStyle w:val="Hyperlink"/>
            <w:rFonts w:asciiTheme="majorHAnsi" w:hAnsiTheme="majorHAnsi"/>
            <w:noProof/>
          </w:rPr>
          <w:t>5.1.1. Bujqësia</w:t>
        </w:r>
        <w:r>
          <w:rPr>
            <w:noProof/>
            <w:webHidden/>
          </w:rPr>
          <w:tab/>
        </w:r>
        <w:r>
          <w:rPr>
            <w:noProof/>
            <w:webHidden/>
          </w:rPr>
          <w:fldChar w:fldCharType="begin"/>
        </w:r>
        <w:r>
          <w:rPr>
            <w:noProof/>
            <w:webHidden/>
          </w:rPr>
          <w:instrText xml:space="preserve"> PAGEREF _Toc216778864 \h </w:instrText>
        </w:r>
        <w:r>
          <w:rPr>
            <w:noProof/>
            <w:webHidden/>
          </w:rPr>
        </w:r>
        <w:r>
          <w:rPr>
            <w:noProof/>
            <w:webHidden/>
          </w:rPr>
          <w:fldChar w:fldCharType="separate"/>
        </w:r>
        <w:r>
          <w:rPr>
            <w:noProof/>
            <w:webHidden/>
          </w:rPr>
          <w:t>35</w:t>
        </w:r>
        <w:r>
          <w:rPr>
            <w:noProof/>
            <w:webHidden/>
          </w:rPr>
          <w:fldChar w:fldCharType="end"/>
        </w:r>
      </w:hyperlink>
    </w:p>
    <w:p w14:paraId="4F9EB0EB" w14:textId="78F14AAA"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65" w:history="1">
        <w:r w:rsidRPr="00615642">
          <w:rPr>
            <w:rStyle w:val="Hyperlink"/>
            <w:rFonts w:asciiTheme="majorHAnsi" w:hAnsiTheme="majorHAnsi" w:cstheme="majorHAnsi"/>
            <w:noProof/>
          </w:rPr>
          <w:t>5.1.2. Pylltaria dhe Kullotat</w:t>
        </w:r>
        <w:r>
          <w:rPr>
            <w:noProof/>
            <w:webHidden/>
          </w:rPr>
          <w:tab/>
        </w:r>
        <w:r>
          <w:rPr>
            <w:noProof/>
            <w:webHidden/>
          </w:rPr>
          <w:fldChar w:fldCharType="begin"/>
        </w:r>
        <w:r>
          <w:rPr>
            <w:noProof/>
            <w:webHidden/>
          </w:rPr>
          <w:instrText xml:space="preserve"> PAGEREF _Toc216778865 \h </w:instrText>
        </w:r>
        <w:r>
          <w:rPr>
            <w:noProof/>
            <w:webHidden/>
          </w:rPr>
        </w:r>
        <w:r>
          <w:rPr>
            <w:noProof/>
            <w:webHidden/>
          </w:rPr>
          <w:fldChar w:fldCharType="separate"/>
        </w:r>
        <w:r>
          <w:rPr>
            <w:noProof/>
            <w:webHidden/>
          </w:rPr>
          <w:t>36</w:t>
        </w:r>
        <w:r>
          <w:rPr>
            <w:noProof/>
            <w:webHidden/>
          </w:rPr>
          <w:fldChar w:fldCharType="end"/>
        </w:r>
      </w:hyperlink>
    </w:p>
    <w:p w14:paraId="15F610CC" w14:textId="7B34352F"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66" w:history="1">
        <w:r w:rsidRPr="00615642">
          <w:rPr>
            <w:rStyle w:val="Hyperlink"/>
            <w:rFonts w:asciiTheme="majorHAnsi" w:hAnsiTheme="majorHAnsi"/>
            <w:noProof/>
          </w:rPr>
          <w:t>5.1.3. Turizmi</w:t>
        </w:r>
        <w:r>
          <w:rPr>
            <w:noProof/>
            <w:webHidden/>
          </w:rPr>
          <w:tab/>
        </w:r>
        <w:r>
          <w:rPr>
            <w:noProof/>
            <w:webHidden/>
          </w:rPr>
          <w:fldChar w:fldCharType="begin"/>
        </w:r>
        <w:r>
          <w:rPr>
            <w:noProof/>
            <w:webHidden/>
          </w:rPr>
          <w:instrText xml:space="preserve"> PAGEREF _Toc216778866 \h </w:instrText>
        </w:r>
        <w:r>
          <w:rPr>
            <w:noProof/>
            <w:webHidden/>
          </w:rPr>
        </w:r>
        <w:r>
          <w:rPr>
            <w:noProof/>
            <w:webHidden/>
          </w:rPr>
          <w:fldChar w:fldCharType="separate"/>
        </w:r>
        <w:r>
          <w:rPr>
            <w:noProof/>
            <w:webHidden/>
          </w:rPr>
          <w:t>36</w:t>
        </w:r>
        <w:r>
          <w:rPr>
            <w:noProof/>
            <w:webHidden/>
          </w:rPr>
          <w:fldChar w:fldCharType="end"/>
        </w:r>
      </w:hyperlink>
    </w:p>
    <w:p w14:paraId="1BEF2B64" w14:textId="3E5F2343"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67" w:history="1">
        <w:r w:rsidRPr="00615642">
          <w:rPr>
            <w:rStyle w:val="Hyperlink"/>
            <w:rFonts w:asciiTheme="majorHAnsi" w:hAnsiTheme="majorHAnsi"/>
            <w:noProof/>
          </w:rPr>
          <w:t>5.1.4. Energjia</w:t>
        </w:r>
        <w:r>
          <w:rPr>
            <w:noProof/>
            <w:webHidden/>
          </w:rPr>
          <w:tab/>
        </w:r>
        <w:r>
          <w:rPr>
            <w:noProof/>
            <w:webHidden/>
          </w:rPr>
          <w:fldChar w:fldCharType="begin"/>
        </w:r>
        <w:r>
          <w:rPr>
            <w:noProof/>
            <w:webHidden/>
          </w:rPr>
          <w:instrText xml:space="preserve"> PAGEREF _Toc216778867 \h </w:instrText>
        </w:r>
        <w:r>
          <w:rPr>
            <w:noProof/>
            <w:webHidden/>
          </w:rPr>
        </w:r>
        <w:r>
          <w:rPr>
            <w:noProof/>
            <w:webHidden/>
          </w:rPr>
          <w:fldChar w:fldCharType="separate"/>
        </w:r>
        <w:r>
          <w:rPr>
            <w:noProof/>
            <w:webHidden/>
          </w:rPr>
          <w:t>36</w:t>
        </w:r>
        <w:r>
          <w:rPr>
            <w:noProof/>
            <w:webHidden/>
          </w:rPr>
          <w:fldChar w:fldCharType="end"/>
        </w:r>
      </w:hyperlink>
    </w:p>
    <w:p w14:paraId="41606788" w14:textId="277BCB47"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68" w:history="1">
        <w:r w:rsidRPr="00615642">
          <w:rPr>
            <w:rStyle w:val="Hyperlink"/>
            <w:rFonts w:asciiTheme="majorHAnsi" w:hAnsiTheme="majorHAnsi"/>
            <w:noProof/>
          </w:rPr>
          <w:t>5.1.5. Transporti</w:t>
        </w:r>
        <w:r>
          <w:rPr>
            <w:noProof/>
            <w:webHidden/>
          </w:rPr>
          <w:tab/>
        </w:r>
        <w:r>
          <w:rPr>
            <w:noProof/>
            <w:webHidden/>
          </w:rPr>
          <w:fldChar w:fldCharType="begin"/>
        </w:r>
        <w:r>
          <w:rPr>
            <w:noProof/>
            <w:webHidden/>
          </w:rPr>
          <w:instrText xml:space="preserve"> PAGEREF _Toc216778868 \h </w:instrText>
        </w:r>
        <w:r>
          <w:rPr>
            <w:noProof/>
            <w:webHidden/>
          </w:rPr>
        </w:r>
        <w:r>
          <w:rPr>
            <w:noProof/>
            <w:webHidden/>
          </w:rPr>
          <w:fldChar w:fldCharType="separate"/>
        </w:r>
        <w:r>
          <w:rPr>
            <w:noProof/>
            <w:webHidden/>
          </w:rPr>
          <w:t>37</w:t>
        </w:r>
        <w:r>
          <w:rPr>
            <w:noProof/>
            <w:webHidden/>
          </w:rPr>
          <w:fldChar w:fldCharType="end"/>
        </w:r>
      </w:hyperlink>
    </w:p>
    <w:p w14:paraId="2A709BD5" w14:textId="46366817"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69" w:history="1">
        <w:r w:rsidRPr="00615642">
          <w:rPr>
            <w:rStyle w:val="Hyperlink"/>
            <w:rFonts w:asciiTheme="majorHAnsi" w:hAnsiTheme="majorHAnsi"/>
            <w:noProof/>
          </w:rPr>
          <w:t>5.1.6. Zhvillimi urban</w:t>
        </w:r>
        <w:r>
          <w:rPr>
            <w:noProof/>
            <w:webHidden/>
          </w:rPr>
          <w:tab/>
        </w:r>
        <w:r>
          <w:rPr>
            <w:noProof/>
            <w:webHidden/>
          </w:rPr>
          <w:fldChar w:fldCharType="begin"/>
        </w:r>
        <w:r>
          <w:rPr>
            <w:noProof/>
            <w:webHidden/>
          </w:rPr>
          <w:instrText xml:space="preserve"> PAGEREF _Toc216778869 \h </w:instrText>
        </w:r>
        <w:r>
          <w:rPr>
            <w:noProof/>
            <w:webHidden/>
          </w:rPr>
        </w:r>
        <w:r>
          <w:rPr>
            <w:noProof/>
            <w:webHidden/>
          </w:rPr>
          <w:fldChar w:fldCharType="separate"/>
        </w:r>
        <w:r>
          <w:rPr>
            <w:noProof/>
            <w:webHidden/>
          </w:rPr>
          <w:t>37</w:t>
        </w:r>
        <w:r>
          <w:rPr>
            <w:noProof/>
            <w:webHidden/>
          </w:rPr>
          <w:fldChar w:fldCharType="end"/>
        </w:r>
      </w:hyperlink>
    </w:p>
    <w:p w14:paraId="3D170289" w14:textId="3C12D301"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70" w:history="1">
        <w:r w:rsidRPr="00615642">
          <w:rPr>
            <w:rStyle w:val="Hyperlink"/>
            <w:rFonts w:asciiTheme="majorHAnsi" w:hAnsiTheme="majorHAnsi"/>
            <w:noProof/>
          </w:rPr>
          <w:t>5.2. Ndryshueshmëria e klimës dhe ndryshimet klimatike</w:t>
        </w:r>
        <w:r>
          <w:rPr>
            <w:noProof/>
            <w:webHidden/>
          </w:rPr>
          <w:tab/>
        </w:r>
        <w:r>
          <w:rPr>
            <w:noProof/>
            <w:webHidden/>
          </w:rPr>
          <w:fldChar w:fldCharType="begin"/>
        </w:r>
        <w:r>
          <w:rPr>
            <w:noProof/>
            <w:webHidden/>
          </w:rPr>
          <w:instrText xml:space="preserve"> PAGEREF _Toc216778870 \h </w:instrText>
        </w:r>
        <w:r>
          <w:rPr>
            <w:noProof/>
            <w:webHidden/>
          </w:rPr>
        </w:r>
        <w:r>
          <w:rPr>
            <w:noProof/>
            <w:webHidden/>
          </w:rPr>
          <w:fldChar w:fldCharType="separate"/>
        </w:r>
        <w:r>
          <w:rPr>
            <w:noProof/>
            <w:webHidden/>
          </w:rPr>
          <w:t>37</w:t>
        </w:r>
        <w:r>
          <w:rPr>
            <w:noProof/>
            <w:webHidden/>
          </w:rPr>
          <w:fldChar w:fldCharType="end"/>
        </w:r>
      </w:hyperlink>
    </w:p>
    <w:p w14:paraId="36C9188A" w14:textId="59A72FB5"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71" w:history="1">
        <w:r w:rsidRPr="00615642">
          <w:rPr>
            <w:rStyle w:val="Hyperlink"/>
            <w:rFonts w:asciiTheme="majorHAnsi" w:hAnsiTheme="majorHAnsi"/>
            <w:noProof/>
          </w:rPr>
          <w:t>5.2.1. Temperatura</w:t>
        </w:r>
        <w:r>
          <w:rPr>
            <w:noProof/>
            <w:webHidden/>
          </w:rPr>
          <w:tab/>
        </w:r>
        <w:r>
          <w:rPr>
            <w:noProof/>
            <w:webHidden/>
          </w:rPr>
          <w:fldChar w:fldCharType="begin"/>
        </w:r>
        <w:r>
          <w:rPr>
            <w:noProof/>
            <w:webHidden/>
          </w:rPr>
          <w:instrText xml:space="preserve"> PAGEREF _Toc216778871 \h </w:instrText>
        </w:r>
        <w:r>
          <w:rPr>
            <w:noProof/>
            <w:webHidden/>
          </w:rPr>
        </w:r>
        <w:r>
          <w:rPr>
            <w:noProof/>
            <w:webHidden/>
          </w:rPr>
          <w:fldChar w:fldCharType="separate"/>
        </w:r>
        <w:r>
          <w:rPr>
            <w:noProof/>
            <w:webHidden/>
          </w:rPr>
          <w:t>38</w:t>
        </w:r>
        <w:r>
          <w:rPr>
            <w:noProof/>
            <w:webHidden/>
          </w:rPr>
          <w:fldChar w:fldCharType="end"/>
        </w:r>
      </w:hyperlink>
    </w:p>
    <w:p w14:paraId="5BBF26A5" w14:textId="4EEE62D7"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72" w:history="1">
        <w:r w:rsidRPr="00615642">
          <w:rPr>
            <w:rStyle w:val="Hyperlink"/>
            <w:rFonts w:asciiTheme="majorHAnsi" w:hAnsiTheme="majorHAnsi"/>
            <w:noProof/>
          </w:rPr>
          <w:t>5.2.2. Reshjet</w:t>
        </w:r>
        <w:r>
          <w:rPr>
            <w:noProof/>
            <w:webHidden/>
          </w:rPr>
          <w:tab/>
        </w:r>
        <w:r>
          <w:rPr>
            <w:noProof/>
            <w:webHidden/>
          </w:rPr>
          <w:fldChar w:fldCharType="begin"/>
        </w:r>
        <w:r>
          <w:rPr>
            <w:noProof/>
            <w:webHidden/>
          </w:rPr>
          <w:instrText xml:space="preserve"> PAGEREF _Toc216778872 \h </w:instrText>
        </w:r>
        <w:r>
          <w:rPr>
            <w:noProof/>
            <w:webHidden/>
          </w:rPr>
        </w:r>
        <w:r>
          <w:rPr>
            <w:noProof/>
            <w:webHidden/>
          </w:rPr>
          <w:fldChar w:fldCharType="separate"/>
        </w:r>
        <w:r>
          <w:rPr>
            <w:noProof/>
            <w:webHidden/>
          </w:rPr>
          <w:t>39</w:t>
        </w:r>
        <w:r>
          <w:rPr>
            <w:noProof/>
            <w:webHidden/>
          </w:rPr>
          <w:fldChar w:fldCharType="end"/>
        </w:r>
      </w:hyperlink>
    </w:p>
    <w:p w14:paraId="4F3A70D7" w14:textId="430258E9"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73" w:history="1">
        <w:r w:rsidRPr="00615642">
          <w:rPr>
            <w:rStyle w:val="Hyperlink"/>
            <w:rFonts w:asciiTheme="majorHAnsi" w:hAnsiTheme="majorHAnsi"/>
            <w:noProof/>
          </w:rPr>
          <w:t>5.2.3. Rritja e nivelit të detit</w:t>
        </w:r>
        <w:r>
          <w:rPr>
            <w:noProof/>
            <w:webHidden/>
          </w:rPr>
          <w:tab/>
        </w:r>
        <w:r>
          <w:rPr>
            <w:noProof/>
            <w:webHidden/>
          </w:rPr>
          <w:fldChar w:fldCharType="begin"/>
        </w:r>
        <w:r>
          <w:rPr>
            <w:noProof/>
            <w:webHidden/>
          </w:rPr>
          <w:instrText xml:space="preserve"> PAGEREF _Toc216778873 \h </w:instrText>
        </w:r>
        <w:r>
          <w:rPr>
            <w:noProof/>
            <w:webHidden/>
          </w:rPr>
        </w:r>
        <w:r>
          <w:rPr>
            <w:noProof/>
            <w:webHidden/>
          </w:rPr>
          <w:fldChar w:fldCharType="separate"/>
        </w:r>
        <w:r>
          <w:rPr>
            <w:noProof/>
            <w:webHidden/>
          </w:rPr>
          <w:t>40</w:t>
        </w:r>
        <w:r>
          <w:rPr>
            <w:noProof/>
            <w:webHidden/>
          </w:rPr>
          <w:fldChar w:fldCharType="end"/>
        </w:r>
      </w:hyperlink>
    </w:p>
    <w:p w14:paraId="1007CD56" w14:textId="1260B2B9"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74" w:history="1">
        <w:r w:rsidRPr="00615642">
          <w:rPr>
            <w:rStyle w:val="Hyperlink"/>
            <w:rFonts w:asciiTheme="majorHAnsi" w:hAnsiTheme="majorHAnsi"/>
            <w:noProof/>
          </w:rPr>
          <w:t>5.3. Rreziqet, ndikimet dhe cenueshmëria nga ndryshimet klimatike</w:t>
        </w:r>
        <w:r>
          <w:rPr>
            <w:noProof/>
            <w:webHidden/>
          </w:rPr>
          <w:tab/>
        </w:r>
        <w:r>
          <w:rPr>
            <w:noProof/>
            <w:webHidden/>
          </w:rPr>
          <w:fldChar w:fldCharType="begin"/>
        </w:r>
        <w:r>
          <w:rPr>
            <w:noProof/>
            <w:webHidden/>
          </w:rPr>
          <w:instrText xml:space="preserve"> PAGEREF _Toc216778874 \h </w:instrText>
        </w:r>
        <w:r>
          <w:rPr>
            <w:noProof/>
            <w:webHidden/>
          </w:rPr>
        </w:r>
        <w:r>
          <w:rPr>
            <w:noProof/>
            <w:webHidden/>
          </w:rPr>
          <w:fldChar w:fldCharType="separate"/>
        </w:r>
        <w:r>
          <w:rPr>
            <w:noProof/>
            <w:webHidden/>
          </w:rPr>
          <w:t>41</w:t>
        </w:r>
        <w:r>
          <w:rPr>
            <w:noProof/>
            <w:webHidden/>
          </w:rPr>
          <w:fldChar w:fldCharType="end"/>
        </w:r>
      </w:hyperlink>
    </w:p>
    <w:p w14:paraId="165D1EEE" w14:textId="1822CA06"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75" w:history="1">
        <w:r w:rsidRPr="00615642">
          <w:rPr>
            <w:rStyle w:val="Hyperlink"/>
            <w:rFonts w:asciiTheme="majorHAnsi" w:hAnsiTheme="majorHAnsi"/>
            <w:noProof/>
          </w:rPr>
          <w:t>5.3.1. Rreziqet, ndikimet dhe cenueshmëria në sektorin e bujqësisë</w:t>
        </w:r>
        <w:r>
          <w:rPr>
            <w:noProof/>
            <w:webHidden/>
          </w:rPr>
          <w:tab/>
        </w:r>
        <w:r>
          <w:rPr>
            <w:noProof/>
            <w:webHidden/>
          </w:rPr>
          <w:fldChar w:fldCharType="begin"/>
        </w:r>
        <w:r>
          <w:rPr>
            <w:noProof/>
            <w:webHidden/>
          </w:rPr>
          <w:instrText xml:space="preserve"> PAGEREF _Toc216778875 \h </w:instrText>
        </w:r>
        <w:r>
          <w:rPr>
            <w:noProof/>
            <w:webHidden/>
          </w:rPr>
        </w:r>
        <w:r>
          <w:rPr>
            <w:noProof/>
            <w:webHidden/>
          </w:rPr>
          <w:fldChar w:fldCharType="separate"/>
        </w:r>
        <w:r>
          <w:rPr>
            <w:noProof/>
            <w:webHidden/>
          </w:rPr>
          <w:t>42</w:t>
        </w:r>
        <w:r>
          <w:rPr>
            <w:noProof/>
            <w:webHidden/>
          </w:rPr>
          <w:fldChar w:fldCharType="end"/>
        </w:r>
      </w:hyperlink>
    </w:p>
    <w:p w14:paraId="0D785D44" w14:textId="4FE283CD"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76" w:history="1">
        <w:r w:rsidRPr="00615642">
          <w:rPr>
            <w:rStyle w:val="Hyperlink"/>
            <w:rFonts w:asciiTheme="majorHAnsi" w:hAnsiTheme="majorHAnsi" w:cstheme="majorHAnsi"/>
            <w:noProof/>
          </w:rPr>
          <w:t>5.3.2. Rreziqet, ndikimet dhe cenueshmëria në sektorin e pylltarisë dhe kullotave</w:t>
        </w:r>
        <w:r>
          <w:rPr>
            <w:noProof/>
            <w:webHidden/>
          </w:rPr>
          <w:tab/>
        </w:r>
        <w:r>
          <w:rPr>
            <w:noProof/>
            <w:webHidden/>
          </w:rPr>
          <w:fldChar w:fldCharType="begin"/>
        </w:r>
        <w:r>
          <w:rPr>
            <w:noProof/>
            <w:webHidden/>
          </w:rPr>
          <w:instrText xml:space="preserve"> PAGEREF _Toc216778876 \h </w:instrText>
        </w:r>
        <w:r>
          <w:rPr>
            <w:noProof/>
            <w:webHidden/>
          </w:rPr>
        </w:r>
        <w:r>
          <w:rPr>
            <w:noProof/>
            <w:webHidden/>
          </w:rPr>
          <w:fldChar w:fldCharType="separate"/>
        </w:r>
        <w:r>
          <w:rPr>
            <w:noProof/>
            <w:webHidden/>
          </w:rPr>
          <w:t>43</w:t>
        </w:r>
        <w:r>
          <w:rPr>
            <w:noProof/>
            <w:webHidden/>
          </w:rPr>
          <w:fldChar w:fldCharType="end"/>
        </w:r>
      </w:hyperlink>
    </w:p>
    <w:p w14:paraId="5D9EB425" w14:textId="2336E794"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77" w:history="1">
        <w:r w:rsidRPr="00615642">
          <w:rPr>
            <w:rStyle w:val="Hyperlink"/>
            <w:rFonts w:asciiTheme="majorHAnsi" w:hAnsiTheme="majorHAnsi"/>
            <w:noProof/>
          </w:rPr>
          <w:t>5.3.3. Rreziqet, ndikimet dhe cenueshmëria në sektorin e turizmit</w:t>
        </w:r>
        <w:r>
          <w:rPr>
            <w:noProof/>
            <w:webHidden/>
          </w:rPr>
          <w:tab/>
        </w:r>
        <w:r>
          <w:rPr>
            <w:noProof/>
            <w:webHidden/>
          </w:rPr>
          <w:fldChar w:fldCharType="begin"/>
        </w:r>
        <w:r>
          <w:rPr>
            <w:noProof/>
            <w:webHidden/>
          </w:rPr>
          <w:instrText xml:space="preserve"> PAGEREF _Toc216778877 \h </w:instrText>
        </w:r>
        <w:r>
          <w:rPr>
            <w:noProof/>
            <w:webHidden/>
          </w:rPr>
        </w:r>
        <w:r>
          <w:rPr>
            <w:noProof/>
            <w:webHidden/>
          </w:rPr>
          <w:fldChar w:fldCharType="separate"/>
        </w:r>
        <w:r>
          <w:rPr>
            <w:noProof/>
            <w:webHidden/>
          </w:rPr>
          <w:t>44</w:t>
        </w:r>
        <w:r>
          <w:rPr>
            <w:noProof/>
            <w:webHidden/>
          </w:rPr>
          <w:fldChar w:fldCharType="end"/>
        </w:r>
      </w:hyperlink>
    </w:p>
    <w:p w14:paraId="2C71E35B" w14:textId="30ECFD39"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78" w:history="1">
        <w:r w:rsidRPr="00615642">
          <w:rPr>
            <w:rStyle w:val="Hyperlink"/>
            <w:rFonts w:asciiTheme="majorHAnsi" w:hAnsiTheme="majorHAnsi"/>
            <w:noProof/>
          </w:rPr>
          <w:t>5.3.4. Rreziqet, ndikimet dhe cenueshmëria në sektorin e energjisë</w:t>
        </w:r>
        <w:r>
          <w:rPr>
            <w:noProof/>
            <w:webHidden/>
          </w:rPr>
          <w:tab/>
        </w:r>
        <w:r>
          <w:rPr>
            <w:noProof/>
            <w:webHidden/>
          </w:rPr>
          <w:fldChar w:fldCharType="begin"/>
        </w:r>
        <w:r>
          <w:rPr>
            <w:noProof/>
            <w:webHidden/>
          </w:rPr>
          <w:instrText xml:space="preserve"> PAGEREF _Toc216778878 \h </w:instrText>
        </w:r>
        <w:r>
          <w:rPr>
            <w:noProof/>
            <w:webHidden/>
          </w:rPr>
        </w:r>
        <w:r>
          <w:rPr>
            <w:noProof/>
            <w:webHidden/>
          </w:rPr>
          <w:fldChar w:fldCharType="separate"/>
        </w:r>
        <w:r>
          <w:rPr>
            <w:noProof/>
            <w:webHidden/>
          </w:rPr>
          <w:t>44</w:t>
        </w:r>
        <w:r>
          <w:rPr>
            <w:noProof/>
            <w:webHidden/>
          </w:rPr>
          <w:fldChar w:fldCharType="end"/>
        </w:r>
      </w:hyperlink>
    </w:p>
    <w:p w14:paraId="282BF3D3" w14:textId="42A08546" w:rsidR="00E40703" w:rsidRDefault="00E40703" w:rsidP="00E40703">
      <w:pPr>
        <w:pStyle w:val="TOC2"/>
        <w:tabs>
          <w:tab w:val="right" w:leader="dot" w:pos="9350"/>
        </w:tabs>
        <w:spacing w:before="0"/>
        <w:rPr>
          <w:rFonts w:asciiTheme="minorHAnsi" w:eastAsiaTheme="minorEastAsia" w:hAnsiTheme="minorHAnsi" w:cstheme="minorBidi"/>
          <w:noProof/>
          <w:kern w:val="2"/>
          <w:lang w:val="en-US"/>
          <w14:ligatures w14:val="standardContextual"/>
        </w:rPr>
      </w:pPr>
      <w:hyperlink w:anchor="_Toc216778879" w:history="1">
        <w:r w:rsidRPr="00615642">
          <w:rPr>
            <w:rStyle w:val="Hyperlink"/>
            <w:rFonts w:asciiTheme="majorHAnsi" w:hAnsiTheme="majorHAnsi"/>
            <w:noProof/>
          </w:rPr>
          <w:t>5.3.5. Rreziqet, ndikimet dhe cenueshmëria në sektorin e transportit</w:t>
        </w:r>
        <w:r>
          <w:rPr>
            <w:noProof/>
            <w:webHidden/>
          </w:rPr>
          <w:tab/>
        </w:r>
        <w:r>
          <w:rPr>
            <w:noProof/>
            <w:webHidden/>
          </w:rPr>
          <w:fldChar w:fldCharType="begin"/>
        </w:r>
        <w:r>
          <w:rPr>
            <w:noProof/>
            <w:webHidden/>
          </w:rPr>
          <w:instrText xml:space="preserve"> PAGEREF _Toc216778879 \h </w:instrText>
        </w:r>
        <w:r>
          <w:rPr>
            <w:noProof/>
            <w:webHidden/>
          </w:rPr>
        </w:r>
        <w:r>
          <w:rPr>
            <w:noProof/>
            <w:webHidden/>
          </w:rPr>
          <w:fldChar w:fldCharType="separate"/>
        </w:r>
        <w:r>
          <w:rPr>
            <w:noProof/>
            <w:webHidden/>
          </w:rPr>
          <w:t>45</w:t>
        </w:r>
        <w:r>
          <w:rPr>
            <w:noProof/>
            <w:webHidden/>
          </w:rPr>
          <w:fldChar w:fldCharType="end"/>
        </w:r>
      </w:hyperlink>
    </w:p>
    <w:p w14:paraId="3935B05B" w14:textId="7567BFBD" w:rsidR="00E40703" w:rsidRPr="00E40703" w:rsidRDefault="00E40703" w:rsidP="00E40703">
      <w:pPr>
        <w:pStyle w:val="TOC2"/>
        <w:tabs>
          <w:tab w:val="right" w:leader="dot" w:pos="9350"/>
        </w:tabs>
        <w:spacing w:before="0"/>
        <w:rPr>
          <w:rStyle w:val="Hyperlink"/>
          <w:rFonts w:asciiTheme="majorHAnsi" w:hAnsiTheme="majorHAnsi"/>
        </w:rPr>
      </w:pPr>
      <w:hyperlink w:anchor="_Toc216778880" w:history="1">
        <w:r w:rsidRPr="00615642">
          <w:rPr>
            <w:rStyle w:val="Hyperlink"/>
            <w:rFonts w:asciiTheme="majorHAnsi" w:hAnsiTheme="majorHAnsi"/>
            <w:noProof/>
          </w:rPr>
          <w:t>5.3.6. Rreziqet, ndikimet dhe cenueshmëria në sektorin e zhvillimit urban</w:t>
        </w:r>
        <w:r w:rsidRPr="00E40703">
          <w:rPr>
            <w:rStyle w:val="Hyperlink"/>
            <w:rFonts w:asciiTheme="majorHAnsi" w:hAnsiTheme="majorHAnsi"/>
            <w:webHidden/>
          </w:rPr>
          <w:tab/>
        </w:r>
        <w:r w:rsidRPr="00E40703">
          <w:rPr>
            <w:rStyle w:val="Hyperlink"/>
            <w:rFonts w:asciiTheme="majorHAnsi" w:hAnsiTheme="majorHAnsi"/>
            <w:webHidden/>
          </w:rPr>
          <w:fldChar w:fldCharType="begin"/>
        </w:r>
        <w:r w:rsidRPr="00E40703">
          <w:rPr>
            <w:rStyle w:val="Hyperlink"/>
            <w:rFonts w:asciiTheme="majorHAnsi" w:hAnsiTheme="majorHAnsi"/>
            <w:webHidden/>
          </w:rPr>
          <w:instrText xml:space="preserve"> PAGEREF _Toc216778880 \h </w:instrText>
        </w:r>
        <w:r w:rsidRPr="00E40703">
          <w:rPr>
            <w:rStyle w:val="Hyperlink"/>
            <w:rFonts w:asciiTheme="majorHAnsi" w:hAnsiTheme="majorHAnsi"/>
            <w:webHidden/>
          </w:rPr>
        </w:r>
        <w:r w:rsidRPr="00E40703">
          <w:rPr>
            <w:rStyle w:val="Hyperlink"/>
            <w:rFonts w:asciiTheme="majorHAnsi" w:hAnsiTheme="majorHAnsi"/>
            <w:webHidden/>
          </w:rPr>
          <w:fldChar w:fldCharType="separate"/>
        </w:r>
        <w:r w:rsidRPr="00E40703">
          <w:rPr>
            <w:rStyle w:val="Hyperlink"/>
            <w:rFonts w:asciiTheme="majorHAnsi" w:hAnsiTheme="majorHAnsi"/>
            <w:webHidden/>
          </w:rPr>
          <w:t>45</w:t>
        </w:r>
        <w:r w:rsidRPr="00E40703">
          <w:rPr>
            <w:rStyle w:val="Hyperlink"/>
            <w:rFonts w:asciiTheme="majorHAnsi" w:hAnsiTheme="majorHAnsi"/>
            <w:webHidden/>
          </w:rPr>
          <w:fldChar w:fldCharType="end"/>
        </w:r>
      </w:hyperlink>
    </w:p>
    <w:p w14:paraId="5BBB7091" w14:textId="5FAA1580" w:rsidR="00E40703" w:rsidRPr="00E40703" w:rsidRDefault="00E40703" w:rsidP="00E40703">
      <w:pPr>
        <w:pStyle w:val="TOC2"/>
        <w:tabs>
          <w:tab w:val="right" w:leader="dot" w:pos="9350"/>
        </w:tabs>
        <w:spacing w:before="0"/>
        <w:rPr>
          <w:rStyle w:val="Hyperlink"/>
          <w:rFonts w:asciiTheme="majorHAnsi" w:hAnsiTheme="majorHAnsi"/>
        </w:rPr>
      </w:pPr>
      <w:hyperlink w:anchor="_Toc216778881" w:history="1">
        <w:r w:rsidRPr="00615642">
          <w:rPr>
            <w:rStyle w:val="Hyperlink"/>
            <w:rFonts w:asciiTheme="majorHAnsi" w:hAnsiTheme="majorHAnsi"/>
            <w:noProof/>
          </w:rPr>
          <w:t>5.4. Masat e përshtatjes</w:t>
        </w:r>
        <w:r w:rsidRPr="00E40703">
          <w:rPr>
            <w:rStyle w:val="Hyperlink"/>
            <w:rFonts w:asciiTheme="majorHAnsi" w:hAnsiTheme="majorHAnsi"/>
            <w:webHidden/>
          </w:rPr>
          <w:tab/>
        </w:r>
        <w:r w:rsidRPr="00E40703">
          <w:rPr>
            <w:rStyle w:val="Hyperlink"/>
            <w:rFonts w:asciiTheme="majorHAnsi" w:hAnsiTheme="majorHAnsi"/>
            <w:webHidden/>
          </w:rPr>
          <w:fldChar w:fldCharType="begin"/>
        </w:r>
        <w:r w:rsidRPr="00E40703">
          <w:rPr>
            <w:rStyle w:val="Hyperlink"/>
            <w:rFonts w:asciiTheme="majorHAnsi" w:hAnsiTheme="majorHAnsi"/>
            <w:webHidden/>
          </w:rPr>
          <w:instrText xml:space="preserve"> PAGEREF _Toc216778881 \h </w:instrText>
        </w:r>
        <w:r w:rsidRPr="00E40703">
          <w:rPr>
            <w:rStyle w:val="Hyperlink"/>
            <w:rFonts w:asciiTheme="majorHAnsi" w:hAnsiTheme="majorHAnsi"/>
            <w:webHidden/>
          </w:rPr>
        </w:r>
        <w:r w:rsidRPr="00E40703">
          <w:rPr>
            <w:rStyle w:val="Hyperlink"/>
            <w:rFonts w:asciiTheme="majorHAnsi" w:hAnsiTheme="majorHAnsi"/>
            <w:webHidden/>
          </w:rPr>
          <w:fldChar w:fldCharType="separate"/>
        </w:r>
        <w:r w:rsidRPr="00E40703">
          <w:rPr>
            <w:rStyle w:val="Hyperlink"/>
            <w:rFonts w:asciiTheme="majorHAnsi" w:hAnsiTheme="majorHAnsi"/>
            <w:webHidden/>
          </w:rPr>
          <w:t>47</w:t>
        </w:r>
        <w:r w:rsidRPr="00E40703">
          <w:rPr>
            <w:rStyle w:val="Hyperlink"/>
            <w:rFonts w:asciiTheme="majorHAnsi" w:hAnsiTheme="majorHAnsi"/>
            <w:webHidden/>
          </w:rPr>
          <w:fldChar w:fldCharType="end"/>
        </w:r>
      </w:hyperlink>
    </w:p>
    <w:p w14:paraId="40DA5EE4" w14:textId="12A181A1" w:rsidR="00E40703" w:rsidRDefault="00E40703" w:rsidP="00E40703">
      <w:pPr>
        <w:pStyle w:val="TOC1"/>
        <w:rPr>
          <w:rFonts w:asciiTheme="minorHAnsi" w:eastAsiaTheme="minorEastAsia" w:hAnsiTheme="minorHAnsi" w:cstheme="minorBidi"/>
          <w:noProof/>
          <w:kern w:val="2"/>
          <w:lang w:val="en-US"/>
          <w14:ligatures w14:val="standardContextual"/>
        </w:rPr>
      </w:pPr>
      <w:hyperlink w:anchor="_Toc216778882" w:history="1">
        <w:r w:rsidRPr="00615642">
          <w:rPr>
            <w:rStyle w:val="Hyperlink"/>
            <w:rFonts w:asciiTheme="majorHAnsi" w:hAnsiTheme="majorHAnsi" w:cstheme="majorHAnsi"/>
            <w:noProof/>
          </w:rPr>
          <w:t>6.</w:t>
        </w:r>
        <w:r>
          <w:rPr>
            <w:rFonts w:asciiTheme="minorHAnsi" w:eastAsiaTheme="minorEastAsia" w:hAnsiTheme="minorHAnsi" w:cstheme="minorBidi"/>
            <w:noProof/>
            <w:kern w:val="2"/>
            <w:lang w:val="en-US"/>
            <w14:ligatures w14:val="standardContextual"/>
          </w:rPr>
          <w:tab/>
        </w:r>
        <w:r w:rsidRPr="00615642">
          <w:rPr>
            <w:rStyle w:val="Hyperlink"/>
            <w:rFonts w:asciiTheme="majorHAnsi" w:hAnsiTheme="majorHAnsi"/>
            <w:noProof/>
          </w:rPr>
          <w:t>Informacion për të lehtësuar qartësinë, transparencën dhe kuptimin e dokumentit të përditësuar të kontributit kombëtar të përcaktuar të Shqipërisë për periudhën 2025-2035</w:t>
        </w:r>
        <w:r>
          <w:rPr>
            <w:noProof/>
            <w:webHidden/>
          </w:rPr>
          <w:tab/>
        </w:r>
        <w:r>
          <w:rPr>
            <w:noProof/>
            <w:webHidden/>
          </w:rPr>
          <w:fldChar w:fldCharType="begin"/>
        </w:r>
        <w:r>
          <w:rPr>
            <w:noProof/>
            <w:webHidden/>
          </w:rPr>
          <w:instrText xml:space="preserve"> PAGEREF _Toc216778882 \h </w:instrText>
        </w:r>
        <w:r>
          <w:rPr>
            <w:noProof/>
            <w:webHidden/>
          </w:rPr>
        </w:r>
        <w:r>
          <w:rPr>
            <w:noProof/>
            <w:webHidden/>
          </w:rPr>
          <w:fldChar w:fldCharType="separate"/>
        </w:r>
        <w:r>
          <w:rPr>
            <w:noProof/>
            <w:webHidden/>
          </w:rPr>
          <w:t>56</w:t>
        </w:r>
        <w:r>
          <w:rPr>
            <w:noProof/>
            <w:webHidden/>
          </w:rPr>
          <w:fldChar w:fldCharType="end"/>
        </w:r>
      </w:hyperlink>
    </w:p>
    <w:p w14:paraId="1477201B" w14:textId="0DFAC25C" w:rsidR="00E40703" w:rsidRDefault="00E40703" w:rsidP="00E40703">
      <w:pPr>
        <w:pStyle w:val="TOC1"/>
        <w:rPr>
          <w:rFonts w:asciiTheme="minorHAnsi" w:eastAsiaTheme="minorEastAsia" w:hAnsiTheme="minorHAnsi" w:cstheme="minorBidi"/>
          <w:noProof/>
          <w:kern w:val="2"/>
          <w:lang w:val="en-US"/>
          <w14:ligatures w14:val="standardContextual"/>
        </w:rPr>
      </w:pPr>
      <w:hyperlink w:anchor="_Toc216778883" w:history="1">
        <w:r w:rsidRPr="00615642">
          <w:rPr>
            <w:rStyle w:val="Hyperlink"/>
            <w:rFonts w:asciiTheme="majorHAnsi" w:hAnsiTheme="majorHAnsi" w:cstheme="majorHAnsi"/>
            <w:noProof/>
          </w:rPr>
          <w:t>7.</w:t>
        </w:r>
        <w:r>
          <w:rPr>
            <w:rFonts w:asciiTheme="minorHAnsi" w:eastAsiaTheme="minorEastAsia" w:hAnsiTheme="minorHAnsi" w:cstheme="minorBidi"/>
            <w:noProof/>
            <w:kern w:val="2"/>
            <w:lang w:val="en-US"/>
            <w14:ligatures w14:val="standardContextual"/>
          </w:rPr>
          <w:tab/>
        </w:r>
        <w:r w:rsidRPr="00615642">
          <w:rPr>
            <w:rStyle w:val="Hyperlink"/>
            <w:rFonts w:asciiTheme="majorHAnsi" w:hAnsiTheme="majorHAnsi"/>
            <w:noProof/>
          </w:rPr>
          <w:t>Referenca</w:t>
        </w:r>
        <w:r>
          <w:rPr>
            <w:noProof/>
            <w:webHidden/>
          </w:rPr>
          <w:tab/>
        </w:r>
        <w:r>
          <w:rPr>
            <w:noProof/>
            <w:webHidden/>
          </w:rPr>
          <w:fldChar w:fldCharType="begin"/>
        </w:r>
        <w:r>
          <w:rPr>
            <w:noProof/>
            <w:webHidden/>
          </w:rPr>
          <w:instrText xml:space="preserve"> PAGEREF _Toc216778883 \h </w:instrText>
        </w:r>
        <w:r>
          <w:rPr>
            <w:noProof/>
            <w:webHidden/>
          </w:rPr>
        </w:r>
        <w:r>
          <w:rPr>
            <w:noProof/>
            <w:webHidden/>
          </w:rPr>
          <w:fldChar w:fldCharType="separate"/>
        </w:r>
        <w:r>
          <w:rPr>
            <w:noProof/>
            <w:webHidden/>
          </w:rPr>
          <w:t>75</w:t>
        </w:r>
        <w:r>
          <w:rPr>
            <w:noProof/>
            <w:webHidden/>
          </w:rPr>
          <w:fldChar w:fldCharType="end"/>
        </w:r>
      </w:hyperlink>
    </w:p>
    <w:p w14:paraId="32A2F1B0" w14:textId="39176607" w:rsidR="00376025" w:rsidRDefault="00387652" w:rsidP="007651B1">
      <w:pPr>
        <w:tabs>
          <w:tab w:val="right" w:leader="dot" w:pos="9090"/>
        </w:tabs>
        <w:rPr>
          <w:rFonts w:asciiTheme="majorHAnsi" w:hAnsiTheme="majorHAnsi" w:cstheme="majorHAnsi"/>
          <w:u w:val="single"/>
        </w:rPr>
        <w:sectPr w:rsidR="00376025" w:rsidSect="005B45E4">
          <w:footerReference w:type="default" r:id="rId12"/>
          <w:pgSz w:w="12240" w:h="15840" w:code="9"/>
          <w:pgMar w:top="1440" w:right="1440" w:bottom="1440" w:left="1440" w:header="720" w:footer="720" w:gutter="0"/>
          <w:pgNumType w:fmt="lowerRoman"/>
          <w:cols w:space="720"/>
          <w:docGrid w:linePitch="360"/>
        </w:sectPr>
      </w:pPr>
      <w:r w:rsidRPr="00420F06">
        <w:rPr>
          <w:rFonts w:asciiTheme="majorHAnsi" w:hAnsiTheme="majorHAnsi" w:cstheme="majorHAnsi"/>
          <w:u w:val="single"/>
        </w:rPr>
        <w:fldChar w:fldCharType="end"/>
      </w:r>
    </w:p>
    <w:p w14:paraId="5E71A47E" w14:textId="77777777" w:rsidR="00DD72AB" w:rsidRPr="003F3849" w:rsidRDefault="00DD72AB" w:rsidP="00CE09E2">
      <w:pPr>
        <w:pStyle w:val="Heading1"/>
        <w:numPr>
          <w:ilvl w:val="255"/>
          <w:numId w:val="0"/>
        </w:numPr>
        <w:spacing w:before="0"/>
        <w:rPr>
          <w:rFonts w:ascii="Calibri" w:hAnsi="Calibri" w:cs="Calibri"/>
        </w:rPr>
      </w:pPr>
      <w:bookmarkStart w:id="1" w:name="_Toc216778850"/>
      <w:r>
        <w:rPr>
          <w:rFonts w:ascii="Calibri" w:hAnsi="Calibri"/>
        </w:rPr>
        <w:lastRenderedPageBreak/>
        <w:t>Akronime</w:t>
      </w:r>
      <w:bookmarkEnd w:id="1"/>
    </w:p>
    <w:tbl>
      <w:tblPr>
        <w:tblW w:w="9990" w:type="dxa"/>
        <w:tblCellSpacing w:w="15" w:type="dxa"/>
        <w:tblCellMar>
          <w:top w:w="15" w:type="dxa"/>
          <w:left w:w="15" w:type="dxa"/>
          <w:bottom w:w="15" w:type="dxa"/>
          <w:right w:w="15" w:type="dxa"/>
        </w:tblCellMar>
        <w:tblLook w:val="04A0" w:firstRow="1" w:lastRow="0" w:firstColumn="1" w:lastColumn="0" w:noHBand="0" w:noVBand="1"/>
      </w:tblPr>
      <w:tblGrid>
        <w:gridCol w:w="1575"/>
        <w:gridCol w:w="8415"/>
      </w:tblGrid>
      <w:tr w:rsidR="00DD72AB" w:rsidRPr="00ED3FFB" w14:paraId="10230AC5" w14:textId="77777777" w:rsidTr="00ED3FFB">
        <w:trPr>
          <w:tblHeader/>
          <w:tblCellSpacing w:w="15" w:type="dxa"/>
        </w:trPr>
        <w:tc>
          <w:tcPr>
            <w:tcW w:w="1485" w:type="dxa"/>
            <w:shd w:val="clear" w:color="auto" w:fill="FFFFFF"/>
            <w:vAlign w:val="center"/>
          </w:tcPr>
          <w:p w14:paraId="48C04DD0" w14:textId="77777777" w:rsidR="00DD72AB" w:rsidRPr="00ED3FFB" w:rsidRDefault="00DD72AB" w:rsidP="00ED3FFB">
            <w:pPr>
              <w:jc w:val="left"/>
              <w:rPr>
                <w:rFonts w:ascii="Calibri" w:hAnsi="Calibri" w:cs="Calibri"/>
                <w:b/>
                <w:bCs/>
                <w:color w:val="000000"/>
              </w:rPr>
            </w:pPr>
            <w:r>
              <w:rPr>
                <w:rStyle w:val="Strong"/>
                <w:rFonts w:ascii="Calibri" w:hAnsi="Calibri"/>
                <w:color w:val="000000"/>
              </w:rPr>
              <w:t>Akronimi</w:t>
            </w:r>
          </w:p>
        </w:tc>
        <w:tc>
          <w:tcPr>
            <w:tcW w:w="8415" w:type="dxa"/>
            <w:shd w:val="clear" w:color="auto" w:fill="FFFFFF"/>
            <w:vAlign w:val="center"/>
          </w:tcPr>
          <w:p w14:paraId="14760ED0" w14:textId="009F101B" w:rsidR="00DD72AB" w:rsidRPr="00ED3FFB" w:rsidRDefault="00ED3FFB" w:rsidP="00ED3FFB">
            <w:pPr>
              <w:jc w:val="left"/>
              <w:rPr>
                <w:rFonts w:ascii="Calibri" w:hAnsi="Calibri" w:cs="Calibri"/>
                <w:b/>
                <w:bCs/>
                <w:color w:val="000000"/>
              </w:rPr>
            </w:pPr>
            <w:r>
              <w:rPr>
                <w:rStyle w:val="Strong"/>
                <w:rFonts w:ascii="Calibri" w:hAnsi="Calibri"/>
                <w:color w:val="000000"/>
              </w:rPr>
              <w:t>Emërtimi i plotë</w:t>
            </w:r>
          </w:p>
        </w:tc>
      </w:tr>
      <w:tr w:rsidR="00ED3FFB" w:rsidRPr="00ED3FFB" w14:paraId="21FCAF9A" w14:textId="77777777" w:rsidTr="00ED3FFB">
        <w:trPr>
          <w:tblCellSpacing w:w="15" w:type="dxa"/>
        </w:trPr>
        <w:tc>
          <w:tcPr>
            <w:tcW w:w="1485" w:type="dxa"/>
            <w:shd w:val="clear" w:color="auto" w:fill="FFFFFF"/>
            <w:vAlign w:val="center"/>
          </w:tcPr>
          <w:p w14:paraId="2B60ECCD"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ZAE</w:t>
            </w:r>
          </w:p>
        </w:tc>
        <w:tc>
          <w:tcPr>
            <w:tcW w:w="8415" w:type="dxa"/>
            <w:shd w:val="clear" w:color="auto" w:fill="FFFFFF"/>
            <w:vAlign w:val="center"/>
          </w:tcPr>
          <w:p w14:paraId="40694805"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 xml:space="preserve">Zonë agro-ekologjike </w:t>
            </w:r>
          </w:p>
        </w:tc>
      </w:tr>
      <w:tr w:rsidR="00ED3FFB" w:rsidRPr="00ED3FFB" w14:paraId="5A08C303" w14:textId="77777777" w:rsidTr="00ED3FFB">
        <w:trPr>
          <w:tblCellSpacing w:w="15" w:type="dxa"/>
        </w:trPr>
        <w:tc>
          <w:tcPr>
            <w:tcW w:w="1485" w:type="dxa"/>
            <w:shd w:val="clear" w:color="auto" w:fill="FFFFFF"/>
            <w:vAlign w:val="center"/>
          </w:tcPr>
          <w:p w14:paraId="75E95ADE"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RGjV (RV6)</w:t>
            </w:r>
          </w:p>
        </w:tc>
        <w:tc>
          <w:tcPr>
            <w:tcW w:w="8415" w:type="dxa"/>
            <w:shd w:val="clear" w:color="auto" w:fill="FFFFFF"/>
            <w:vAlign w:val="center"/>
          </w:tcPr>
          <w:p w14:paraId="144FF222"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Raporti i gjashtë i vlerësimit (i PNNK-së, 2022)</w:t>
            </w:r>
          </w:p>
        </w:tc>
      </w:tr>
      <w:tr w:rsidR="00ED3FFB" w:rsidRPr="00ED3FFB" w14:paraId="78998C6D" w14:textId="77777777" w:rsidTr="00ED3FFB">
        <w:trPr>
          <w:tblCellSpacing w:w="15" w:type="dxa"/>
        </w:trPr>
        <w:tc>
          <w:tcPr>
            <w:tcW w:w="1485" w:type="dxa"/>
            <w:shd w:val="clear" w:color="auto" w:fill="FFFFFF"/>
            <w:vAlign w:val="center"/>
          </w:tcPr>
          <w:p w14:paraId="1D2E40EE"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BaU</w:t>
            </w:r>
          </w:p>
        </w:tc>
        <w:tc>
          <w:tcPr>
            <w:tcW w:w="8415" w:type="dxa"/>
            <w:shd w:val="clear" w:color="auto" w:fill="FFFFFF"/>
            <w:vAlign w:val="center"/>
          </w:tcPr>
          <w:p w14:paraId="127DA116"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Punë si zakonisht (skenar)</w:t>
            </w:r>
          </w:p>
        </w:tc>
      </w:tr>
      <w:tr w:rsidR="00ED3FFB" w:rsidRPr="00ED3FFB" w14:paraId="0FD40502" w14:textId="77777777" w:rsidTr="00ED3FFB">
        <w:trPr>
          <w:tblCellSpacing w:w="15" w:type="dxa"/>
        </w:trPr>
        <w:tc>
          <w:tcPr>
            <w:tcW w:w="1485" w:type="dxa"/>
            <w:shd w:val="clear" w:color="auto" w:fill="FFFFFF"/>
            <w:vAlign w:val="center"/>
          </w:tcPr>
          <w:p w14:paraId="35AD1DB8"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BTR</w:t>
            </w:r>
          </w:p>
        </w:tc>
        <w:tc>
          <w:tcPr>
            <w:tcW w:w="8415" w:type="dxa"/>
            <w:shd w:val="clear" w:color="auto" w:fill="FFFFFF"/>
            <w:vAlign w:val="center"/>
          </w:tcPr>
          <w:p w14:paraId="4D59F9E1"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Raporti Dyvjeçar i Transparencës</w:t>
            </w:r>
          </w:p>
        </w:tc>
      </w:tr>
      <w:tr w:rsidR="00ED3FFB" w:rsidRPr="00ED3FFB" w14:paraId="612E683B" w14:textId="77777777" w:rsidTr="00ED3FFB">
        <w:trPr>
          <w:tblCellSpacing w:w="15" w:type="dxa"/>
        </w:trPr>
        <w:tc>
          <w:tcPr>
            <w:tcW w:w="1485" w:type="dxa"/>
            <w:shd w:val="clear" w:color="auto" w:fill="FFFFFF"/>
            <w:vAlign w:val="center"/>
          </w:tcPr>
          <w:p w14:paraId="53D0D027"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CAPEX</w:t>
            </w:r>
          </w:p>
        </w:tc>
        <w:tc>
          <w:tcPr>
            <w:tcW w:w="8415" w:type="dxa"/>
            <w:shd w:val="clear" w:color="auto" w:fill="FFFFFF"/>
            <w:vAlign w:val="center"/>
          </w:tcPr>
          <w:p w14:paraId="0CCE4B60"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Shpenzime kapitale (kostoja e investimit)</w:t>
            </w:r>
          </w:p>
        </w:tc>
      </w:tr>
      <w:tr w:rsidR="00ED3FFB" w:rsidRPr="00ED3FFB" w14:paraId="3F102975" w14:textId="77777777" w:rsidTr="00ED3FFB">
        <w:trPr>
          <w:tblCellSpacing w:w="15" w:type="dxa"/>
        </w:trPr>
        <w:tc>
          <w:tcPr>
            <w:tcW w:w="1485" w:type="dxa"/>
            <w:shd w:val="clear" w:color="auto" w:fill="FFFFFF"/>
            <w:vAlign w:val="center"/>
          </w:tcPr>
          <w:p w14:paraId="4C618EC7"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CCU</w:t>
            </w:r>
          </w:p>
        </w:tc>
        <w:tc>
          <w:tcPr>
            <w:tcW w:w="8415" w:type="dxa"/>
            <w:shd w:val="clear" w:color="auto" w:fill="FFFFFF"/>
            <w:vAlign w:val="center"/>
          </w:tcPr>
          <w:p w14:paraId="55AF3EFC"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Kapja dhe përdorimi i karbonit</w:t>
            </w:r>
          </w:p>
        </w:tc>
      </w:tr>
      <w:tr w:rsidR="00ED3FFB" w:rsidRPr="00ED3FFB" w14:paraId="06E1A4F6" w14:textId="77777777" w:rsidTr="00ED3FFB">
        <w:trPr>
          <w:tblCellSpacing w:w="15" w:type="dxa"/>
        </w:trPr>
        <w:tc>
          <w:tcPr>
            <w:tcW w:w="1485" w:type="dxa"/>
            <w:shd w:val="clear" w:color="auto" w:fill="FFFFFF"/>
            <w:vAlign w:val="center"/>
          </w:tcPr>
          <w:p w14:paraId="6A133429"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CH4</w:t>
            </w:r>
          </w:p>
        </w:tc>
        <w:tc>
          <w:tcPr>
            <w:tcW w:w="8415" w:type="dxa"/>
            <w:shd w:val="clear" w:color="auto" w:fill="FFFFFF"/>
            <w:vAlign w:val="center"/>
          </w:tcPr>
          <w:p w14:paraId="7DC4EDBF"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Metani (gaz me efekt serrë)</w:t>
            </w:r>
          </w:p>
        </w:tc>
      </w:tr>
      <w:tr w:rsidR="00ED3FFB" w:rsidRPr="00ED3FFB" w14:paraId="176D2351" w14:textId="77777777" w:rsidTr="00ED3FFB">
        <w:trPr>
          <w:tblCellSpacing w:w="15" w:type="dxa"/>
        </w:trPr>
        <w:tc>
          <w:tcPr>
            <w:tcW w:w="1485" w:type="dxa"/>
            <w:shd w:val="clear" w:color="auto" w:fill="FFFFFF"/>
            <w:vAlign w:val="center"/>
          </w:tcPr>
          <w:p w14:paraId="19822C7D"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KTM</w:t>
            </w:r>
          </w:p>
        </w:tc>
        <w:tc>
          <w:tcPr>
            <w:tcW w:w="8415" w:type="dxa"/>
            <w:shd w:val="clear" w:color="auto" w:fill="FFFFFF"/>
            <w:vAlign w:val="center"/>
          </w:tcPr>
          <w:p w14:paraId="31F176F3" w14:textId="77777777" w:rsidR="00DD72AB" w:rsidRPr="00ED3FFB" w:rsidRDefault="00DD72AB" w:rsidP="00ED3FFB">
            <w:pPr>
              <w:spacing w:before="0"/>
              <w:jc w:val="left"/>
              <w:rPr>
                <w:rFonts w:ascii="Calibri" w:hAnsi="Calibri" w:cs="Calibri"/>
                <w:color w:val="000000"/>
                <w:sz w:val="22"/>
                <w:szCs w:val="22"/>
              </w:rPr>
            </w:pPr>
            <w:r>
              <w:rPr>
                <w:rStyle w:val="Emphasis"/>
                <w:rFonts w:ascii="Calibri" w:hAnsi="Calibri"/>
                <w:i w:val="0"/>
                <w:color w:val="000000"/>
                <w:sz w:val="22"/>
                <w:szCs w:val="22"/>
              </w:rPr>
              <w:t>Konferenca e palëve që shërben si takimi i palëve në Marrëveshjen e Parisit</w:t>
            </w:r>
            <w:r>
              <w:rPr>
                <w:rFonts w:ascii="Calibri" w:hAnsi="Calibri"/>
                <w:color w:val="000000"/>
                <w:sz w:val="22"/>
                <w:szCs w:val="22"/>
              </w:rPr>
              <w:t xml:space="preserve"> (organ i KKKBNK-së)</w:t>
            </w:r>
          </w:p>
        </w:tc>
      </w:tr>
      <w:tr w:rsidR="00ED3FFB" w:rsidRPr="00ED3FFB" w14:paraId="7415BFA5" w14:textId="77777777" w:rsidTr="00ED3FFB">
        <w:trPr>
          <w:tblCellSpacing w:w="15" w:type="dxa"/>
        </w:trPr>
        <w:tc>
          <w:tcPr>
            <w:tcW w:w="1485" w:type="dxa"/>
            <w:shd w:val="clear" w:color="auto" w:fill="FFFFFF"/>
            <w:vAlign w:val="center"/>
          </w:tcPr>
          <w:p w14:paraId="35F4B118"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CO2</w:t>
            </w:r>
          </w:p>
        </w:tc>
        <w:tc>
          <w:tcPr>
            <w:tcW w:w="8415" w:type="dxa"/>
            <w:shd w:val="clear" w:color="auto" w:fill="FFFFFF"/>
            <w:vAlign w:val="center"/>
          </w:tcPr>
          <w:p w14:paraId="073AC149"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Dyoksidi i karbonit (gaz me efekt serrë)</w:t>
            </w:r>
          </w:p>
        </w:tc>
      </w:tr>
      <w:tr w:rsidR="00ED3FFB" w:rsidRPr="00ED3FFB" w14:paraId="643094EE" w14:textId="77777777" w:rsidTr="00ED3FFB">
        <w:trPr>
          <w:tblCellSpacing w:w="15" w:type="dxa"/>
        </w:trPr>
        <w:tc>
          <w:tcPr>
            <w:tcW w:w="1485" w:type="dxa"/>
            <w:shd w:val="clear" w:color="auto" w:fill="FFFFFF"/>
            <w:vAlign w:val="center"/>
          </w:tcPr>
          <w:p w14:paraId="01660AA4"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KP</w:t>
            </w:r>
          </w:p>
        </w:tc>
        <w:tc>
          <w:tcPr>
            <w:tcW w:w="8415" w:type="dxa"/>
            <w:shd w:val="clear" w:color="auto" w:fill="FFFFFF"/>
            <w:vAlign w:val="center"/>
          </w:tcPr>
          <w:p w14:paraId="42B2E60F" w14:textId="77777777" w:rsidR="00DD72AB" w:rsidRPr="00ED3FFB" w:rsidRDefault="00DD72AB" w:rsidP="00ED3FFB">
            <w:pPr>
              <w:spacing w:before="0"/>
              <w:jc w:val="left"/>
              <w:rPr>
                <w:rFonts w:ascii="Calibri" w:hAnsi="Calibri" w:cs="Calibri"/>
                <w:color w:val="000000"/>
                <w:sz w:val="22"/>
                <w:szCs w:val="22"/>
              </w:rPr>
            </w:pPr>
            <w:r>
              <w:rPr>
                <w:rStyle w:val="Emphasis"/>
                <w:rFonts w:ascii="Calibri" w:hAnsi="Calibri"/>
                <w:i w:val="0"/>
                <w:color w:val="000000"/>
                <w:sz w:val="22"/>
                <w:szCs w:val="22"/>
              </w:rPr>
              <w:t>Konferenca e palëve</w:t>
            </w:r>
            <w:r>
              <w:rPr>
                <w:rFonts w:ascii="Calibri" w:hAnsi="Calibri"/>
                <w:color w:val="000000"/>
                <w:sz w:val="22"/>
                <w:szCs w:val="22"/>
              </w:rPr>
              <w:t xml:space="preserve"> (në KKKBNK)</w:t>
            </w:r>
          </w:p>
        </w:tc>
      </w:tr>
      <w:tr w:rsidR="00ED3FFB" w:rsidRPr="00ED3FFB" w14:paraId="67DCD7A3" w14:textId="77777777" w:rsidTr="00ED3FFB">
        <w:trPr>
          <w:tblCellSpacing w:w="15" w:type="dxa"/>
        </w:trPr>
        <w:tc>
          <w:tcPr>
            <w:tcW w:w="1485" w:type="dxa"/>
            <w:shd w:val="clear" w:color="auto" w:fill="FFFFFF"/>
            <w:vAlign w:val="center"/>
          </w:tcPr>
          <w:p w14:paraId="36CE5EB4"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VKM</w:t>
            </w:r>
          </w:p>
        </w:tc>
        <w:tc>
          <w:tcPr>
            <w:tcW w:w="8415" w:type="dxa"/>
            <w:shd w:val="clear" w:color="auto" w:fill="FFFFFF"/>
            <w:vAlign w:val="center"/>
          </w:tcPr>
          <w:p w14:paraId="2613FCFA"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Vendim i Këshillit të Ministrave</w:t>
            </w:r>
          </w:p>
        </w:tc>
      </w:tr>
      <w:tr w:rsidR="00ED3FFB" w:rsidRPr="00ED3FFB" w14:paraId="58339550" w14:textId="77777777" w:rsidTr="00ED3FFB">
        <w:trPr>
          <w:tblCellSpacing w:w="15" w:type="dxa"/>
        </w:trPr>
        <w:tc>
          <w:tcPr>
            <w:tcW w:w="1485" w:type="dxa"/>
            <w:shd w:val="clear" w:color="auto" w:fill="FFFFFF"/>
            <w:vAlign w:val="center"/>
          </w:tcPr>
          <w:p w14:paraId="1E4979BC"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PbE</w:t>
            </w:r>
          </w:p>
        </w:tc>
        <w:tc>
          <w:tcPr>
            <w:tcW w:w="8415" w:type="dxa"/>
            <w:shd w:val="clear" w:color="auto" w:fill="FFFFFF"/>
            <w:vAlign w:val="center"/>
          </w:tcPr>
          <w:p w14:paraId="03CFDBE5"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Përshtatja e bazuar në ekosistem</w:t>
            </w:r>
          </w:p>
        </w:tc>
      </w:tr>
      <w:tr w:rsidR="00ED3FFB" w:rsidRPr="00ED3FFB" w14:paraId="5D0C9A66" w14:textId="77777777" w:rsidTr="00ED3FFB">
        <w:trPr>
          <w:tblCellSpacing w:w="15" w:type="dxa"/>
        </w:trPr>
        <w:tc>
          <w:tcPr>
            <w:tcW w:w="1485" w:type="dxa"/>
            <w:shd w:val="clear" w:color="auto" w:fill="FFFFFF"/>
            <w:vAlign w:val="center"/>
          </w:tcPr>
          <w:p w14:paraId="4DF415F2"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KE</w:t>
            </w:r>
          </w:p>
        </w:tc>
        <w:tc>
          <w:tcPr>
            <w:tcW w:w="8415" w:type="dxa"/>
            <w:shd w:val="clear" w:color="auto" w:fill="FFFFFF"/>
            <w:vAlign w:val="center"/>
          </w:tcPr>
          <w:p w14:paraId="27FAD6BB"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Komisioni Evropian</w:t>
            </w:r>
          </w:p>
        </w:tc>
      </w:tr>
      <w:tr w:rsidR="00ED3FFB" w:rsidRPr="00ED3FFB" w14:paraId="4076E758" w14:textId="77777777" w:rsidTr="00ED3FFB">
        <w:trPr>
          <w:tblCellSpacing w:w="15" w:type="dxa"/>
        </w:trPr>
        <w:tc>
          <w:tcPr>
            <w:tcW w:w="1485" w:type="dxa"/>
            <w:shd w:val="clear" w:color="auto" w:fill="FFFFFF"/>
            <w:vAlign w:val="center"/>
          </w:tcPr>
          <w:p w14:paraId="478C2C6C" w14:textId="77777777" w:rsidR="00DD72AB" w:rsidRPr="00ED3FFB" w:rsidRDefault="00DD72AB" w:rsidP="00ED3FFB">
            <w:pPr>
              <w:spacing w:before="0"/>
              <w:jc w:val="left"/>
              <w:rPr>
                <w:rFonts w:ascii="Calibri" w:hAnsi="Calibri" w:cs="Calibri"/>
                <w:color w:val="000000"/>
                <w:sz w:val="22"/>
                <w:szCs w:val="22"/>
              </w:rPr>
            </w:pPr>
            <w:r>
              <w:rPr>
                <w:rStyle w:val="Strong"/>
                <w:rFonts w:ascii="Calibri" w:hAnsi="Calibri"/>
                <w:color w:val="000000"/>
                <w:sz w:val="22"/>
                <w:szCs w:val="22"/>
              </w:rPr>
              <w:t>EE</w:t>
            </w:r>
          </w:p>
        </w:tc>
        <w:tc>
          <w:tcPr>
            <w:tcW w:w="8415" w:type="dxa"/>
            <w:shd w:val="clear" w:color="auto" w:fill="FFFFFF"/>
            <w:vAlign w:val="center"/>
          </w:tcPr>
          <w:p w14:paraId="6790FE41" w14:textId="77777777" w:rsidR="00DD72AB" w:rsidRPr="00ED3FFB" w:rsidRDefault="00DD72AB" w:rsidP="00ED3FFB">
            <w:pPr>
              <w:spacing w:before="0"/>
              <w:jc w:val="left"/>
              <w:rPr>
                <w:rFonts w:ascii="Calibri" w:hAnsi="Calibri" w:cs="Calibri"/>
                <w:color w:val="000000"/>
                <w:sz w:val="22"/>
                <w:szCs w:val="22"/>
              </w:rPr>
            </w:pPr>
            <w:r>
              <w:rPr>
                <w:rFonts w:ascii="Calibri" w:hAnsi="Calibri"/>
                <w:color w:val="000000"/>
                <w:sz w:val="22"/>
                <w:szCs w:val="22"/>
              </w:rPr>
              <w:t>Efiçenca e energjisë</w:t>
            </w:r>
          </w:p>
        </w:tc>
      </w:tr>
      <w:tr w:rsidR="00ED3FFB" w:rsidRPr="00ED3FFB" w14:paraId="1F7789A2" w14:textId="77777777" w:rsidTr="00ED3FFB">
        <w:trPr>
          <w:tblCellSpacing w:w="15" w:type="dxa"/>
        </w:trPr>
        <w:tc>
          <w:tcPr>
            <w:tcW w:w="1485" w:type="dxa"/>
            <w:shd w:val="clear" w:color="auto" w:fill="FFFFFF"/>
            <w:vAlign w:val="center"/>
          </w:tcPr>
          <w:p w14:paraId="2C95EBBE" w14:textId="77777777" w:rsidR="00DD72AB" w:rsidRPr="00ED3FFB" w:rsidRDefault="00DD72AB" w:rsidP="007D4DA2">
            <w:pPr>
              <w:spacing w:before="0"/>
              <w:jc w:val="left"/>
              <w:rPr>
                <w:rFonts w:ascii="Calibri" w:hAnsi="Calibri" w:cs="Calibri"/>
                <w:color w:val="000000"/>
                <w:sz w:val="22"/>
                <w:szCs w:val="22"/>
              </w:rPr>
            </w:pPr>
            <w:r>
              <w:rPr>
                <w:rStyle w:val="Strong"/>
                <w:rFonts w:ascii="Calibri" w:hAnsi="Calibri"/>
                <w:color w:val="000000"/>
                <w:sz w:val="22"/>
                <w:szCs w:val="22"/>
              </w:rPr>
              <w:t>VNM</w:t>
            </w:r>
          </w:p>
        </w:tc>
        <w:tc>
          <w:tcPr>
            <w:tcW w:w="8415" w:type="dxa"/>
            <w:shd w:val="clear" w:color="auto" w:fill="FFFFFF"/>
            <w:vAlign w:val="center"/>
          </w:tcPr>
          <w:p w14:paraId="0E81AA86" w14:textId="77777777" w:rsidR="00DD72AB" w:rsidRPr="00ED3FFB" w:rsidRDefault="00DD72AB" w:rsidP="007D4DA2">
            <w:pPr>
              <w:spacing w:before="0"/>
              <w:jc w:val="left"/>
              <w:rPr>
                <w:rFonts w:ascii="Calibri" w:hAnsi="Calibri" w:cs="Calibri"/>
                <w:color w:val="000000"/>
                <w:sz w:val="22"/>
                <w:szCs w:val="22"/>
              </w:rPr>
            </w:pPr>
            <w:r>
              <w:rPr>
                <w:rFonts w:ascii="Calibri" w:hAnsi="Calibri"/>
                <w:color w:val="000000"/>
                <w:sz w:val="22"/>
                <w:szCs w:val="22"/>
              </w:rPr>
              <w:t>Vlerësimi i ndikimit në mjedis</w:t>
            </w:r>
          </w:p>
        </w:tc>
      </w:tr>
      <w:tr w:rsidR="00ED3FFB" w:rsidRPr="00ED3FFB" w14:paraId="7F53FCF5" w14:textId="77777777" w:rsidTr="00ED3FFB">
        <w:trPr>
          <w:tblCellSpacing w:w="15" w:type="dxa"/>
        </w:trPr>
        <w:tc>
          <w:tcPr>
            <w:tcW w:w="1485" w:type="dxa"/>
            <w:shd w:val="clear" w:color="auto" w:fill="FFFFFF"/>
            <w:vAlign w:val="center"/>
          </w:tcPr>
          <w:p w14:paraId="47E7D31C" w14:textId="77777777" w:rsidR="00DD72AB" w:rsidRPr="00ED3FFB" w:rsidRDefault="00DD72AB" w:rsidP="007D4DA2">
            <w:pPr>
              <w:spacing w:before="0"/>
              <w:jc w:val="left"/>
              <w:rPr>
                <w:rFonts w:ascii="Calibri" w:hAnsi="Calibri" w:cs="Calibri"/>
                <w:color w:val="000000"/>
                <w:sz w:val="22"/>
                <w:szCs w:val="22"/>
              </w:rPr>
            </w:pPr>
            <w:r>
              <w:rPr>
                <w:rStyle w:val="Strong"/>
                <w:rFonts w:ascii="Calibri" w:hAnsi="Calibri"/>
                <w:color w:val="000000"/>
                <w:sz w:val="22"/>
                <w:szCs w:val="22"/>
              </w:rPr>
              <w:t>EPBD</w:t>
            </w:r>
          </w:p>
        </w:tc>
        <w:tc>
          <w:tcPr>
            <w:tcW w:w="8415" w:type="dxa"/>
            <w:shd w:val="clear" w:color="auto" w:fill="FFFFFF"/>
            <w:vAlign w:val="center"/>
          </w:tcPr>
          <w:p w14:paraId="239AA90C" w14:textId="77777777" w:rsidR="00DD72AB" w:rsidRPr="00ED3FFB" w:rsidRDefault="00DD72AB" w:rsidP="007D4DA2">
            <w:pPr>
              <w:spacing w:before="0"/>
              <w:jc w:val="left"/>
              <w:rPr>
                <w:rFonts w:ascii="Calibri" w:hAnsi="Calibri" w:cs="Calibri"/>
                <w:color w:val="000000"/>
                <w:sz w:val="22"/>
                <w:szCs w:val="22"/>
              </w:rPr>
            </w:pPr>
            <w:r>
              <w:rPr>
                <w:rFonts w:ascii="Calibri" w:hAnsi="Calibri"/>
                <w:color w:val="000000"/>
                <w:sz w:val="22"/>
                <w:szCs w:val="22"/>
              </w:rPr>
              <w:t>Direktiva për Performancën e Energjisë së Ndërtesave (Direktiva BE 2010/31/BE)</w:t>
            </w:r>
          </w:p>
        </w:tc>
      </w:tr>
      <w:tr w:rsidR="00ED3FFB" w:rsidRPr="00ED3FFB" w14:paraId="27F6C513" w14:textId="77777777" w:rsidTr="00ED3FFB">
        <w:trPr>
          <w:tblCellSpacing w:w="15" w:type="dxa"/>
        </w:trPr>
        <w:tc>
          <w:tcPr>
            <w:tcW w:w="1485" w:type="dxa"/>
            <w:shd w:val="clear" w:color="auto" w:fill="FFFFFF"/>
            <w:vAlign w:val="center"/>
          </w:tcPr>
          <w:p w14:paraId="541C4DC5" w14:textId="77777777" w:rsidR="00DD72AB" w:rsidRPr="00ED3FFB" w:rsidRDefault="00DD72AB" w:rsidP="007D4DA2">
            <w:pPr>
              <w:spacing w:before="0"/>
              <w:jc w:val="left"/>
              <w:rPr>
                <w:rFonts w:ascii="Calibri" w:hAnsi="Calibri" w:cs="Calibri"/>
                <w:color w:val="000000"/>
                <w:sz w:val="22"/>
                <w:szCs w:val="22"/>
              </w:rPr>
            </w:pPr>
            <w:r>
              <w:rPr>
                <w:rStyle w:val="Strong"/>
                <w:rFonts w:ascii="Calibri" w:hAnsi="Calibri"/>
                <w:color w:val="000000"/>
                <w:sz w:val="22"/>
                <w:szCs w:val="22"/>
              </w:rPr>
              <w:t>CPE</w:t>
            </w:r>
          </w:p>
        </w:tc>
        <w:tc>
          <w:tcPr>
            <w:tcW w:w="8415" w:type="dxa"/>
            <w:shd w:val="clear" w:color="auto" w:fill="FFFFFF"/>
            <w:vAlign w:val="center"/>
          </w:tcPr>
          <w:p w14:paraId="5CE067B0" w14:textId="77777777" w:rsidR="00DD72AB" w:rsidRPr="00ED3FFB" w:rsidRDefault="00DD72AB" w:rsidP="007D4DA2">
            <w:pPr>
              <w:spacing w:before="0"/>
              <w:jc w:val="left"/>
              <w:rPr>
                <w:rFonts w:ascii="Calibri" w:hAnsi="Calibri" w:cs="Calibri"/>
                <w:color w:val="000000"/>
                <w:sz w:val="22"/>
                <w:szCs w:val="22"/>
              </w:rPr>
            </w:pPr>
            <w:r>
              <w:rPr>
                <w:rFonts w:ascii="Calibri" w:hAnsi="Calibri"/>
                <w:color w:val="000000"/>
                <w:sz w:val="22"/>
                <w:szCs w:val="22"/>
              </w:rPr>
              <w:t>Certifikata e performancës së energjisë</w:t>
            </w:r>
          </w:p>
        </w:tc>
      </w:tr>
      <w:tr w:rsidR="007D4DA2" w:rsidRPr="00ED3FFB" w14:paraId="27CFE725" w14:textId="77777777" w:rsidTr="00ED3FFB">
        <w:trPr>
          <w:tblCellSpacing w:w="15" w:type="dxa"/>
        </w:trPr>
        <w:tc>
          <w:tcPr>
            <w:tcW w:w="1485" w:type="dxa"/>
            <w:shd w:val="clear" w:color="auto" w:fill="FFFFFF"/>
            <w:vAlign w:val="center"/>
          </w:tcPr>
          <w:p w14:paraId="42DD6B86" w14:textId="26B39415" w:rsidR="007D4DA2" w:rsidRPr="00ED3FFB" w:rsidRDefault="007D4DA2" w:rsidP="007D4DA2">
            <w:pPr>
              <w:spacing w:before="0"/>
              <w:jc w:val="left"/>
              <w:rPr>
                <w:rStyle w:val="Strong"/>
                <w:rFonts w:ascii="Calibri" w:eastAsia="SimSun" w:hAnsi="Calibri" w:cs="Calibri"/>
                <w:color w:val="000000"/>
                <w:sz w:val="22"/>
                <w:szCs w:val="22"/>
              </w:rPr>
            </w:pPr>
            <w:r>
              <w:rPr>
                <w:rStyle w:val="Strong"/>
                <w:rFonts w:ascii="Calibri" w:hAnsi="Calibri"/>
                <w:color w:val="000000"/>
                <w:sz w:val="22"/>
                <w:szCs w:val="22"/>
              </w:rPr>
              <w:t>ESCO</w:t>
            </w:r>
          </w:p>
        </w:tc>
        <w:tc>
          <w:tcPr>
            <w:tcW w:w="8415" w:type="dxa"/>
            <w:shd w:val="clear" w:color="auto" w:fill="FFFFFF"/>
            <w:vAlign w:val="center"/>
          </w:tcPr>
          <w:p w14:paraId="4372D7DC" w14:textId="5244BF92" w:rsidR="007D4DA2" w:rsidRPr="00ED3FFB" w:rsidRDefault="007D4DA2" w:rsidP="007D4DA2">
            <w:pPr>
              <w:spacing w:before="0"/>
              <w:jc w:val="left"/>
              <w:rPr>
                <w:rFonts w:ascii="Calibri" w:eastAsia="SimSun" w:hAnsi="Calibri" w:cs="Calibri"/>
                <w:color w:val="000000"/>
                <w:sz w:val="22"/>
                <w:szCs w:val="22"/>
              </w:rPr>
            </w:pPr>
            <w:r>
              <w:rPr>
                <w:rFonts w:ascii="Calibri" w:hAnsi="Calibri"/>
                <w:color w:val="000000"/>
              </w:rPr>
              <w:t>Shoqëria e Shërbimeve Energjetike</w:t>
            </w:r>
          </w:p>
        </w:tc>
      </w:tr>
      <w:tr w:rsidR="007D4DA2" w:rsidRPr="00ED3FFB" w14:paraId="601D60A2" w14:textId="77777777" w:rsidTr="00ED3FFB">
        <w:trPr>
          <w:tblCellSpacing w:w="15" w:type="dxa"/>
        </w:trPr>
        <w:tc>
          <w:tcPr>
            <w:tcW w:w="1485" w:type="dxa"/>
            <w:shd w:val="clear" w:color="auto" w:fill="FFFFFF"/>
            <w:vAlign w:val="center"/>
          </w:tcPr>
          <w:p w14:paraId="4A277E33"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ETS</w:t>
            </w:r>
          </w:p>
        </w:tc>
        <w:tc>
          <w:tcPr>
            <w:tcW w:w="8415" w:type="dxa"/>
            <w:shd w:val="clear" w:color="auto" w:fill="FFFFFF"/>
            <w:vAlign w:val="center"/>
          </w:tcPr>
          <w:p w14:paraId="682149E9"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Sistemi për Tregtimin e Shkarkimeve (ETS i BE-së)</w:t>
            </w:r>
          </w:p>
        </w:tc>
      </w:tr>
      <w:tr w:rsidR="007D4DA2" w:rsidRPr="00ED3FFB" w14:paraId="747959AD" w14:textId="77777777" w:rsidTr="00ED3FFB">
        <w:trPr>
          <w:tblCellSpacing w:w="15" w:type="dxa"/>
        </w:trPr>
        <w:tc>
          <w:tcPr>
            <w:tcW w:w="1485" w:type="dxa"/>
            <w:shd w:val="clear" w:color="auto" w:fill="FFFFFF"/>
            <w:vAlign w:val="center"/>
          </w:tcPr>
          <w:p w14:paraId="621123C1"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BE</w:t>
            </w:r>
          </w:p>
        </w:tc>
        <w:tc>
          <w:tcPr>
            <w:tcW w:w="8415" w:type="dxa"/>
            <w:shd w:val="clear" w:color="auto" w:fill="FFFFFF"/>
            <w:vAlign w:val="center"/>
          </w:tcPr>
          <w:p w14:paraId="46959B73"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Bashkimi Evropian</w:t>
            </w:r>
          </w:p>
        </w:tc>
      </w:tr>
      <w:tr w:rsidR="007D4DA2" w:rsidRPr="00ED3FFB" w14:paraId="67DBE528" w14:textId="77777777" w:rsidTr="00ED3FFB">
        <w:trPr>
          <w:tblCellSpacing w:w="15" w:type="dxa"/>
        </w:trPr>
        <w:tc>
          <w:tcPr>
            <w:tcW w:w="1485" w:type="dxa"/>
            <w:shd w:val="clear" w:color="auto" w:fill="FFFFFF"/>
            <w:vAlign w:val="center"/>
          </w:tcPr>
          <w:p w14:paraId="6E7225F3"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BE-27</w:t>
            </w:r>
          </w:p>
        </w:tc>
        <w:tc>
          <w:tcPr>
            <w:tcW w:w="8415" w:type="dxa"/>
            <w:shd w:val="clear" w:color="auto" w:fill="FFFFFF"/>
            <w:vAlign w:val="center"/>
          </w:tcPr>
          <w:p w14:paraId="2C26CEE5"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Bashkimi Evropian (27 shtetet anëtare)</w:t>
            </w:r>
          </w:p>
        </w:tc>
      </w:tr>
      <w:tr w:rsidR="007D4DA2" w:rsidRPr="00ED3FFB" w14:paraId="2CFAF567" w14:textId="77777777" w:rsidTr="00ED3FFB">
        <w:trPr>
          <w:tblCellSpacing w:w="15" w:type="dxa"/>
        </w:trPr>
        <w:tc>
          <w:tcPr>
            <w:tcW w:w="1485" w:type="dxa"/>
            <w:shd w:val="clear" w:color="auto" w:fill="FFFFFF"/>
            <w:vAlign w:val="center"/>
          </w:tcPr>
          <w:p w14:paraId="79F311AF"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EUR</w:t>
            </w:r>
          </w:p>
        </w:tc>
        <w:tc>
          <w:tcPr>
            <w:tcW w:w="8415" w:type="dxa"/>
            <w:shd w:val="clear" w:color="auto" w:fill="FFFFFF"/>
            <w:vAlign w:val="center"/>
          </w:tcPr>
          <w:p w14:paraId="7CFA64D3"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Euro (monedha evropiane)</w:t>
            </w:r>
          </w:p>
        </w:tc>
      </w:tr>
      <w:tr w:rsidR="007D4DA2" w:rsidRPr="00ED3FFB" w14:paraId="11B922AA" w14:textId="77777777" w:rsidTr="00ED3FFB">
        <w:trPr>
          <w:tblCellSpacing w:w="15" w:type="dxa"/>
        </w:trPr>
        <w:tc>
          <w:tcPr>
            <w:tcW w:w="1485" w:type="dxa"/>
            <w:shd w:val="clear" w:color="auto" w:fill="FFFFFF"/>
            <w:vAlign w:val="center"/>
          </w:tcPr>
          <w:p w14:paraId="32A548E9"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Gazet-F</w:t>
            </w:r>
          </w:p>
        </w:tc>
        <w:tc>
          <w:tcPr>
            <w:tcW w:w="8415" w:type="dxa"/>
            <w:shd w:val="clear" w:color="auto" w:fill="FFFFFF"/>
            <w:vAlign w:val="center"/>
          </w:tcPr>
          <w:p w14:paraId="09EAD9FB"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Gazet e fluorinuara (gazet industriale me PNG të lartë, si HFC-të, PFC-të, SF₆, NF₃)</w:t>
            </w:r>
          </w:p>
        </w:tc>
      </w:tr>
      <w:tr w:rsidR="007D4DA2" w:rsidRPr="00ED3FFB" w14:paraId="469577CA" w14:textId="77777777" w:rsidTr="00ED3FFB">
        <w:trPr>
          <w:tblCellSpacing w:w="15" w:type="dxa"/>
        </w:trPr>
        <w:tc>
          <w:tcPr>
            <w:tcW w:w="1485" w:type="dxa"/>
            <w:shd w:val="clear" w:color="auto" w:fill="FFFFFF"/>
            <w:vAlign w:val="center"/>
          </w:tcPr>
          <w:p w14:paraId="06739B3E"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PPTT/FOLU</w:t>
            </w:r>
          </w:p>
        </w:tc>
        <w:tc>
          <w:tcPr>
            <w:tcW w:w="8415" w:type="dxa"/>
            <w:shd w:val="clear" w:color="auto" w:fill="FFFFFF"/>
            <w:vAlign w:val="center"/>
          </w:tcPr>
          <w:p w14:paraId="1C1757F1"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Pylltaria dhe përdorimet e tjera të tokës (sektor)</w:t>
            </w:r>
          </w:p>
        </w:tc>
      </w:tr>
      <w:tr w:rsidR="007D4DA2" w:rsidRPr="00ED3FFB" w14:paraId="570FFFB8" w14:textId="77777777" w:rsidTr="00ED3FFB">
        <w:trPr>
          <w:tblCellSpacing w:w="15" w:type="dxa"/>
        </w:trPr>
        <w:tc>
          <w:tcPr>
            <w:tcW w:w="1485" w:type="dxa"/>
            <w:shd w:val="clear" w:color="auto" w:fill="FFFFFF"/>
            <w:vAlign w:val="center"/>
          </w:tcPr>
          <w:p w14:paraId="6F2165E8"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PBB</w:t>
            </w:r>
          </w:p>
        </w:tc>
        <w:tc>
          <w:tcPr>
            <w:tcW w:w="8415" w:type="dxa"/>
            <w:shd w:val="clear" w:color="auto" w:fill="FFFFFF"/>
            <w:vAlign w:val="center"/>
          </w:tcPr>
          <w:p w14:paraId="6F4F7A34"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Produkti i Brendshëm Bruto</w:t>
            </w:r>
          </w:p>
        </w:tc>
      </w:tr>
      <w:tr w:rsidR="007D4DA2" w:rsidRPr="00ED3FFB" w14:paraId="1C6C277A" w14:textId="77777777" w:rsidTr="00ED3FFB">
        <w:trPr>
          <w:tblCellSpacing w:w="15" w:type="dxa"/>
        </w:trPr>
        <w:tc>
          <w:tcPr>
            <w:tcW w:w="1485" w:type="dxa"/>
            <w:shd w:val="clear" w:color="auto" w:fill="FFFFFF"/>
            <w:vAlign w:val="center"/>
          </w:tcPr>
          <w:p w14:paraId="1BD2262A"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GES</w:t>
            </w:r>
          </w:p>
        </w:tc>
        <w:tc>
          <w:tcPr>
            <w:tcW w:w="8415" w:type="dxa"/>
            <w:shd w:val="clear" w:color="auto" w:fill="FFFFFF"/>
            <w:vAlign w:val="center"/>
          </w:tcPr>
          <w:p w14:paraId="680ED772"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Gaz me efekt serrë</w:t>
            </w:r>
          </w:p>
        </w:tc>
      </w:tr>
      <w:tr w:rsidR="007D4DA2" w:rsidRPr="008D3AB2" w14:paraId="52216606" w14:textId="77777777" w:rsidTr="00ED3FFB">
        <w:trPr>
          <w:tblCellSpacing w:w="15" w:type="dxa"/>
        </w:trPr>
        <w:tc>
          <w:tcPr>
            <w:tcW w:w="1485" w:type="dxa"/>
            <w:shd w:val="clear" w:color="auto" w:fill="FFFFFF"/>
            <w:vAlign w:val="center"/>
          </w:tcPr>
          <w:p w14:paraId="7C333ED8"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GIZ</w:t>
            </w:r>
          </w:p>
        </w:tc>
        <w:tc>
          <w:tcPr>
            <w:tcW w:w="8415" w:type="dxa"/>
            <w:shd w:val="clear" w:color="auto" w:fill="FFFFFF"/>
            <w:vAlign w:val="center"/>
          </w:tcPr>
          <w:p w14:paraId="54FEE844"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Deutsche Gesellschaft für Internationale Zusammenarbeit (GIZ)</w:t>
            </w:r>
          </w:p>
        </w:tc>
      </w:tr>
      <w:tr w:rsidR="007D4DA2" w:rsidRPr="00ED3FFB" w14:paraId="5F62E508" w14:textId="77777777" w:rsidTr="00ED3FFB">
        <w:trPr>
          <w:tblCellSpacing w:w="15" w:type="dxa"/>
        </w:trPr>
        <w:tc>
          <w:tcPr>
            <w:tcW w:w="1485" w:type="dxa"/>
            <w:shd w:val="clear" w:color="auto" w:fill="FFFFFF"/>
            <w:vAlign w:val="center"/>
          </w:tcPr>
          <w:p w14:paraId="6653CE8B"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PPKT</w:t>
            </w:r>
          </w:p>
        </w:tc>
        <w:tc>
          <w:tcPr>
            <w:tcW w:w="8415" w:type="dxa"/>
            <w:shd w:val="clear" w:color="auto" w:fill="FFFFFF"/>
            <w:vAlign w:val="center"/>
          </w:tcPr>
          <w:p w14:paraId="38278695"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Plani i Përgjithshëm Kombëtar i Territorit</w:t>
            </w:r>
          </w:p>
        </w:tc>
      </w:tr>
      <w:tr w:rsidR="007D4DA2" w:rsidRPr="00ED3FFB" w14:paraId="6B6F3020" w14:textId="77777777" w:rsidTr="00ED3FFB">
        <w:trPr>
          <w:tblCellSpacing w:w="15" w:type="dxa"/>
        </w:trPr>
        <w:tc>
          <w:tcPr>
            <w:tcW w:w="1485" w:type="dxa"/>
            <w:shd w:val="clear" w:color="auto" w:fill="FFFFFF"/>
            <w:vAlign w:val="center"/>
          </w:tcPr>
          <w:p w14:paraId="6FF95B1D"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GO</w:t>
            </w:r>
          </w:p>
        </w:tc>
        <w:tc>
          <w:tcPr>
            <w:tcW w:w="8415" w:type="dxa"/>
            <w:shd w:val="clear" w:color="auto" w:fill="FFFFFF"/>
            <w:vAlign w:val="center"/>
          </w:tcPr>
          <w:p w14:paraId="4C29675D"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Garancia e origjinës (certifikata e energjisë së rinovueshme)</w:t>
            </w:r>
          </w:p>
        </w:tc>
      </w:tr>
      <w:tr w:rsidR="007D4DA2" w:rsidRPr="00ED3FFB" w14:paraId="6A79364C" w14:textId="77777777" w:rsidTr="00ED3FFB">
        <w:trPr>
          <w:tblCellSpacing w:w="15" w:type="dxa"/>
        </w:trPr>
        <w:tc>
          <w:tcPr>
            <w:tcW w:w="1485" w:type="dxa"/>
            <w:shd w:val="clear" w:color="auto" w:fill="FFFFFF"/>
            <w:vAlign w:val="center"/>
          </w:tcPr>
          <w:p w14:paraId="2396378F"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PNG</w:t>
            </w:r>
          </w:p>
        </w:tc>
        <w:tc>
          <w:tcPr>
            <w:tcW w:w="8415" w:type="dxa"/>
            <w:shd w:val="clear" w:color="auto" w:fill="FFFFFF"/>
            <w:vAlign w:val="center"/>
          </w:tcPr>
          <w:p w14:paraId="54DE2D35"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Potenciali i ngrohjes globale</w:t>
            </w:r>
          </w:p>
        </w:tc>
      </w:tr>
      <w:tr w:rsidR="007D4DA2" w:rsidRPr="00ED3FFB" w14:paraId="0FF5D158" w14:textId="77777777" w:rsidTr="00ED3FFB">
        <w:trPr>
          <w:tblCellSpacing w:w="15" w:type="dxa"/>
        </w:trPr>
        <w:tc>
          <w:tcPr>
            <w:tcW w:w="1485" w:type="dxa"/>
            <w:shd w:val="clear" w:color="auto" w:fill="FFFFFF"/>
            <w:vAlign w:val="center"/>
          </w:tcPr>
          <w:p w14:paraId="4724FEF7"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HFC</w:t>
            </w:r>
          </w:p>
        </w:tc>
        <w:tc>
          <w:tcPr>
            <w:tcW w:w="8415" w:type="dxa"/>
            <w:shd w:val="clear" w:color="auto" w:fill="FFFFFF"/>
            <w:vAlign w:val="center"/>
          </w:tcPr>
          <w:p w14:paraId="71561F25"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Hidrofluorokarbon</w:t>
            </w:r>
          </w:p>
        </w:tc>
      </w:tr>
      <w:tr w:rsidR="007D4DA2" w:rsidRPr="00ED3FFB" w14:paraId="226BDE04" w14:textId="77777777" w:rsidTr="00ED3FFB">
        <w:trPr>
          <w:tblCellSpacing w:w="15" w:type="dxa"/>
        </w:trPr>
        <w:tc>
          <w:tcPr>
            <w:tcW w:w="1485" w:type="dxa"/>
            <w:shd w:val="clear" w:color="auto" w:fill="FFFFFF"/>
            <w:vAlign w:val="center"/>
          </w:tcPr>
          <w:p w14:paraId="646CDD08"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PVD</w:t>
            </w:r>
          </w:p>
        </w:tc>
        <w:tc>
          <w:tcPr>
            <w:tcW w:w="8415" w:type="dxa"/>
            <w:shd w:val="clear" w:color="auto" w:fill="FFFFFF"/>
            <w:vAlign w:val="center"/>
          </w:tcPr>
          <w:p w14:paraId="3F68615C"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Produktet e vjela të drurit (depozita e karbonit në lëndët drusore)</w:t>
            </w:r>
          </w:p>
        </w:tc>
      </w:tr>
      <w:tr w:rsidR="007D4DA2" w:rsidRPr="00ED3FFB" w14:paraId="61C48ED3" w14:textId="77777777" w:rsidTr="00ED3FFB">
        <w:trPr>
          <w:tblCellSpacing w:w="15" w:type="dxa"/>
        </w:trPr>
        <w:tc>
          <w:tcPr>
            <w:tcW w:w="1485" w:type="dxa"/>
            <w:shd w:val="clear" w:color="auto" w:fill="FFFFFF"/>
            <w:vAlign w:val="center"/>
          </w:tcPr>
          <w:p w14:paraId="1F30FFE5"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ICTU</w:t>
            </w:r>
          </w:p>
        </w:tc>
        <w:tc>
          <w:tcPr>
            <w:tcW w:w="8415" w:type="dxa"/>
            <w:shd w:val="clear" w:color="auto" w:fill="FFFFFF"/>
            <w:vAlign w:val="center"/>
          </w:tcPr>
          <w:p w14:paraId="35D5AFC3"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Informacion për të lehtësuar qartësinë, transparencën dhe kuptimin</w:t>
            </w:r>
          </w:p>
        </w:tc>
      </w:tr>
      <w:tr w:rsidR="007D4DA2" w:rsidRPr="00ED3FFB" w14:paraId="28F2DA28" w14:textId="77777777" w:rsidTr="00ED3FFB">
        <w:trPr>
          <w:tblCellSpacing w:w="15" w:type="dxa"/>
        </w:trPr>
        <w:tc>
          <w:tcPr>
            <w:tcW w:w="1485" w:type="dxa"/>
            <w:shd w:val="clear" w:color="auto" w:fill="FFFFFF"/>
            <w:vAlign w:val="center"/>
          </w:tcPr>
          <w:p w14:paraId="4CA81D54"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IGJEO</w:t>
            </w:r>
          </w:p>
        </w:tc>
        <w:tc>
          <w:tcPr>
            <w:tcW w:w="8415" w:type="dxa"/>
            <w:shd w:val="clear" w:color="auto" w:fill="FFFFFF"/>
            <w:vAlign w:val="center"/>
          </w:tcPr>
          <w:p w14:paraId="6879EFD6"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Instituti i Gjeoshkencave (Shqipëri)</w:t>
            </w:r>
          </w:p>
        </w:tc>
      </w:tr>
      <w:tr w:rsidR="007D4DA2" w:rsidRPr="00ED3FFB" w14:paraId="1651A722" w14:textId="77777777" w:rsidTr="00ED3FFB">
        <w:trPr>
          <w:tblCellSpacing w:w="15" w:type="dxa"/>
        </w:trPr>
        <w:tc>
          <w:tcPr>
            <w:tcW w:w="1485" w:type="dxa"/>
            <w:shd w:val="clear" w:color="auto" w:fill="FFFFFF"/>
            <w:vAlign w:val="center"/>
          </w:tcPr>
          <w:p w14:paraId="07A7FC36"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GNPNK</w:t>
            </w:r>
          </w:p>
        </w:tc>
        <w:tc>
          <w:tcPr>
            <w:tcW w:w="8415" w:type="dxa"/>
            <w:shd w:val="clear" w:color="auto" w:fill="FFFFFF"/>
            <w:vAlign w:val="center"/>
          </w:tcPr>
          <w:p w14:paraId="528368A0"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Grupi Ndërministror i Punës për Ndryshimet Klimatike</w:t>
            </w:r>
          </w:p>
        </w:tc>
      </w:tr>
      <w:tr w:rsidR="007D4DA2" w:rsidRPr="00ED3FFB" w14:paraId="139DEDA4" w14:textId="77777777" w:rsidTr="00ED3FFB">
        <w:trPr>
          <w:tblCellSpacing w:w="15" w:type="dxa"/>
        </w:trPr>
        <w:tc>
          <w:tcPr>
            <w:tcW w:w="1485" w:type="dxa"/>
            <w:shd w:val="clear" w:color="auto" w:fill="FFFFFF"/>
            <w:vAlign w:val="center"/>
          </w:tcPr>
          <w:p w14:paraId="55857122"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IPA</w:t>
            </w:r>
          </w:p>
        </w:tc>
        <w:tc>
          <w:tcPr>
            <w:tcW w:w="8415" w:type="dxa"/>
            <w:shd w:val="clear" w:color="auto" w:fill="FFFFFF"/>
            <w:vAlign w:val="center"/>
          </w:tcPr>
          <w:p w14:paraId="7B51FE83"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Instrumenti i Asistencës së Paraanëtarësimit (program financimi i BE-së)</w:t>
            </w:r>
          </w:p>
        </w:tc>
      </w:tr>
      <w:tr w:rsidR="007D4DA2" w:rsidRPr="00ED3FFB" w14:paraId="15313446" w14:textId="77777777" w:rsidTr="00ED3FFB">
        <w:trPr>
          <w:tblCellSpacing w:w="15" w:type="dxa"/>
        </w:trPr>
        <w:tc>
          <w:tcPr>
            <w:tcW w:w="1485" w:type="dxa"/>
            <w:shd w:val="clear" w:color="auto" w:fill="FFFFFF"/>
            <w:vAlign w:val="center"/>
          </w:tcPr>
          <w:p w14:paraId="2CB25E68"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lastRenderedPageBreak/>
              <w:t>PNNK</w:t>
            </w:r>
          </w:p>
        </w:tc>
        <w:tc>
          <w:tcPr>
            <w:tcW w:w="8415" w:type="dxa"/>
            <w:shd w:val="clear" w:color="auto" w:fill="FFFFFF"/>
            <w:vAlign w:val="center"/>
          </w:tcPr>
          <w:p w14:paraId="51DC8D9A"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Paneli Ndërqeveritar për Ndryshimet Klimatike</w:t>
            </w:r>
          </w:p>
        </w:tc>
      </w:tr>
      <w:tr w:rsidR="007D4DA2" w:rsidRPr="00ED3FFB" w14:paraId="5BC36A06" w14:textId="77777777" w:rsidTr="00ED3FFB">
        <w:trPr>
          <w:tblCellSpacing w:w="15" w:type="dxa"/>
        </w:trPr>
        <w:tc>
          <w:tcPr>
            <w:tcW w:w="1485" w:type="dxa"/>
            <w:shd w:val="clear" w:color="auto" w:fill="FFFFFF"/>
            <w:vAlign w:val="center"/>
          </w:tcPr>
          <w:p w14:paraId="1BAF276A"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PIPP</w:t>
            </w:r>
          </w:p>
        </w:tc>
        <w:tc>
          <w:tcPr>
            <w:tcW w:w="8415" w:type="dxa"/>
            <w:shd w:val="clear" w:color="auto" w:fill="FFFFFF"/>
            <w:vAlign w:val="center"/>
          </w:tcPr>
          <w:p w14:paraId="2987DA03"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Proceset industriale dhe përdorimi i produkteve</w:t>
            </w:r>
          </w:p>
        </w:tc>
      </w:tr>
      <w:tr w:rsidR="007D4DA2" w:rsidRPr="00ED3FFB" w14:paraId="0A273DD5" w14:textId="77777777" w:rsidTr="00ED3FFB">
        <w:trPr>
          <w:tblCellSpacing w:w="15" w:type="dxa"/>
        </w:trPr>
        <w:tc>
          <w:tcPr>
            <w:tcW w:w="1485" w:type="dxa"/>
            <w:shd w:val="clear" w:color="auto" w:fill="FFFFFF"/>
            <w:vAlign w:val="center"/>
          </w:tcPr>
          <w:p w14:paraId="72C74636" w14:textId="77777777" w:rsidR="007D4DA2" w:rsidRPr="00ED3FFB" w:rsidRDefault="007D4DA2" w:rsidP="007D4DA2">
            <w:pPr>
              <w:spacing w:before="0"/>
              <w:jc w:val="left"/>
              <w:rPr>
                <w:rFonts w:ascii="Calibri" w:hAnsi="Calibri" w:cs="Calibri"/>
                <w:color w:val="000000"/>
                <w:sz w:val="22"/>
                <w:szCs w:val="22"/>
              </w:rPr>
            </w:pPr>
            <w:bookmarkStart w:id="2" w:name="_Hlk216689805"/>
            <w:r>
              <w:rPr>
                <w:rStyle w:val="Strong"/>
                <w:rFonts w:ascii="Calibri" w:hAnsi="Calibri"/>
                <w:color w:val="000000"/>
                <w:sz w:val="22"/>
                <w:szCs w:val="22"/>
              </w:rPr>
              <w:t>PTNPTP/LULUCF</w:t>
            </w:r>
          </w:p>
        </w:tc>
        <w:tc>
          <w:tcPr>
            <w:tcW w:w="8415" w:type="dxa"/>
            <w:shd w:val="clear" w:color="auto" w:fill="FFFFFF"/>
            <w:vAlign w:val="center"/>
          </w:tcPr>
          <w:p w14:paraId="61DD843F"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Përdorimi i tokës, ndryshimi i përdorimit të tokës dhe pyjet</w:t>
            </w:r>
          </w:p>
        </w:tc>
      </w:tr>
      <w:bookmarkEnd w:id="2"/>
      <w:tr w:rsidR="007D4DA2" w:rsidRPr="00ED3FFB" w14:paraId="75AD02CC" w14:textId="77777777" w:rsidTr="00ED3FFB">
        <w:trPr>
          <w:tblCellSpacing w:w="15" w:type="dxa"/>
        </w:trPr>
        <w:tc>
          <w:tcPr>
            <w:tcW w:w="1485" w:type="dxa"/>
            <w:shd w:val="clear" w:color="auto" w:fill="FFFFFF"/>
            <w:vAlign w:val="center"/>
          </w:tcPr>
          <w:p w14:paraId="1E7BB8CC"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ZMF</w:t>
            </w:r>
          </w:p>
        </w:tc>
        <w:tc>
          <w:tcPr>
            <w:tcW w:w="8415" w:type="dxa"/>
            <w:shd w:val="clear" w:color="auto" w:fill="FFFFFF"/>
            <w:vAlign w:val="center"/>
          </w:tcPr>
          <w:p w14:paraId="0B6D283A"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Zonë mesdhetare fushore</w:t>
            </w:r>
          </w:p>
        </w:tc>
      </w:tr>
      <w:tr w:rsidR="007D4DA2" w:rsidRPr="00ED3FFB" w14:paraId="164B266E" w14:textId="77777777" w:rsidTr="00ED3FFB">
        <w:trPr>
          <w:tblCellSpacing w:w="15" w:type="dxa"/>
        </w:trPr>
        <w:tc>
          <w:tcPr>
            <w:tcW w:w="1485" w:type="dxa"/>
            <w:shd w:val="clear" w:color="auto" w:fill="FFFFFF"/>
            <w:vAlign w:val="center"/>
          </w:tcPr>
          <w:p w14:paraId="09514220"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ZMK</w:t>
            </w:r>
          </w:p>
        </w:tc>
        <w:tc>
          <w:tcPr>
            <w:tcW w:w="8415" w:type="dxa"/>
            <w:shd w:val="clear" w:color="auto" w:fill="FFFFFF"/>
            <w:vAlign w:val="center"/>
          </w:tcPr>
          <w:p w14:paraId="0D627C67"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Zonë mesdhetare kodrinore</w:t>
            </w:r>
          </w:p>
        </w:tc>
      </w:tr>
      <w:tr w:rsidR="007D4DA2" w:rsidRPr="00ED3FFB" w14:paraId="7057A728" w14:textId="77777777" w:rsidTr="00ED3FFB">
        <w:trPr>
          <w:tblCellSpacing w:w="15" w:type="dxa"/>
        </w:trPr>
        <w:tc>
          <w:tcPr>
            <w:tcW w:w="1485" w:type="dxa"/>
            <w:shd w:val="clear" w:color="auto" w:fill="FFFFFF"/>
            <w:vAlign w:val="center"/>
          </w:tcPr>
          <w:p w14:paraId="5C0E077A"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MMR</w:t>
            </w:r>
          </w:p>
        </w:tc>
        <w:tc>
          <w:tcPr>
            <w:tcW w:w="8415" w:type="dxa"/>
            <w:shd w:val="clear" w:color="auto" w:fill="FFFFFF"/>
            <w:vAlign w:val="center"/>
          </w:tcPr>
          <w:p w14:paraId="2141B208"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Rregullorja për Mekanizmat e Monitorimit</w:t>
            </w:r>
          </w:p>
        </w:tc>
      </w:tr>
      <w:tr w:rsidR="007D4DA2" w:rsidRPr="00ED3FFB" w14:paraId="741A9AF8" w14:textId="77777777" w:rsidTr="00ED3FFB">
        <w:trPr>
          <w:tblCellSpacing w:w="15" w:type="dxa"/>
        </w:trPr>
        <w:tc>
          <w:tcPr>
            <w:tcW w:w="1485" w:type="dxa"/>
            <w:shd w:val="clear" w:color="auto" w:fill="FFFFFF"/>
            <w:vAlign w:val="center"/>
          </w:tcPr>
          <w:p w14:paraId="6DB4A9F5"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ZMM</w:t>
            </w:r>
          </w:p>
        </w:tc>
        <w:tc>
          <w:tcPr>
            <w:tcW w:w="8415" w:type="dxa"/>
            <w:shd w:val="clear" w:color="auto" w:fill="FFFFFF"/>
            <w:vAlign w:val="center"/>
          </w:tcPr>
          <w:p w14:paraId="46E902BB"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Zonë mesdhetare malore</w:t>
            </w:r>
          </w:p>
        </w:tc>
      </w:tr>
      <w:tr w:rsidR="007D4DA2" w:rsidRPr="00ED3FFB" w14:paraId="1DD1AF75" w14:textId="77777777" w:rsidTr="00ED3FFB">
        <w:trPr>
          <w:tblCellSpacing w:w="15" w:type="dxa"/>
        </w:trPr>
        <w:tc>
          <w:tcPr>
            <w:tcW w:w="1485" w:type="dxa"/>
            <w:shd w:val="clear" w:color="auto" w:fill="FFFFFF"/>
            <w:vAlign w:val="center"/>
          </w:tcPr>
          <w:p w14:paraId="3BB81088"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ZMPM</w:t>
            </w:r>
          </w:p>
        </w:tc>
        <w:tc>
          <w:tcPr>
            <w:tcW w:w="8415" w:type="dxa"/>
            <w:shd w:val="clear" w:color="auto" w:fill="FFFFFF"/>
            <w:vAlign w:val="center"/>
          </w:tcPr>
          <w:p w14:paraId="1F5F15BD"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Zonë mesdhetare paramalore</w:t>
            </w:r>
          </w:p>
        </w:tc>
      </w:tr>
      <w:tr w:rsidR="007D4DA2" w:rsidRPr="00ED3FFB" w14:paraId="09C89DCB" w14:textId="77777777" w:rsidTr="00ED3FFB">
        <w:trPr>
          <w:tblCellSpacing w:w="15" w:type="dxa"/>
        </w:trPr>
        <w:tc>
          <w:tcPr>
            <w:tcW w:w="1485" w:type="dxa"/>
            <w:shd w:val="clear" w:color="auto" w:fill="FFFFFF"/>
            <w:vAlign w:val="center"/>
          </w:tcPr>
          <w:p w14:paraId="1044CD09"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N2O</w:t>
            </w:r>
          </w:p>
        </w:tc>
        <w:tc>
          <w:tcPr>
            <w:tcW w:w="8415" w:type="dxa"/>
            <w:shd w:val="clear" w:color="auto" w:fill="FFFFFF"/>
            <w:vAlign w:val="center"/>
          </w:tcPr>
          <w:p w14:paraId="3A7A8838"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Oksidi i azotit (gaz me efekt serrë)</w:t>
            </w:r>
          </w:p>
        </w:tc>
      </w:tr>
      <w:tr w:rsidR="007D4DA2" w:rsidRPr="00ED3FFB" w14:paraId="04471BE3" w14:textId="77777777" w:rsidTr="00ED3FFB">
        <w:trPr>
          <w:tblCellSpacing w:w="15" w:type="dxa"/>
        </w:trPr>
        <w:tc>
          <w:tcPr>
            <w:tcW w:w="1485" w:type="dxa"/>
            <w:shd w:val="clear" w:color="auto" w:fill="FFFFFF"/>
            <w:vAlign w:val="center"/>
          </w:tcPr>
          <w:p w14:paraId="705A393A"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PKP</w:t>
            </w:r>
          </w:p>
        </w:tc>
        <w:tc>
          <w:tcPr>
            <w:tcW w:w="8415" w:type="dxa"/>
            <w:shd w:val="clear" w:color="auto" w:fill="FFFFFF"/>
            <w:vAlign w:val="center"/>
          </w:tcPr>
          <w:p w14:paraId="50526705"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Plani Kombëtar i Përshtatjes</w:t>
            </w:r>
          </w:p>
        </w:tc>
      </w:tr>
      <w:tr w:rsidR="007D4DA2" w:rsidRPr="00BB1F36" w14:paraId="1C14B1BE" w14:textId="77777777" w:rsidTr="00ED3FFB">
        <w:trPr>
          <w:tblCellSpacing w:w="15" w:type="dxa"/>
        </w:trPr>
        <w:tc>
          <w:tcPr>
            <w:tcW w:w="1485" w:type="dxa"/>
            <w:shd w:val="clear" w:color="auto" w:fill="FFFFFF"/>
            <w:vAlign w:val="center"/>
          </w:tcPr>
          <w:p w14:paraId="37058A9D"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ND-GAIN</w:t>
            </w:r>
          </w:p>
        </w:tc>
        <w:tc>
          <w:tcPr>
            <w:tcW w:w="8415" w:type="dxa"/>
            <w:shd w:val="clear" w:color="auto" w:fill="FFFFFF"/>
            <w:vAlign w:val="center"/>
          </w:tcPr>
          <w:p w14:paraId="6AA376E2"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Nisma Globale e Përshtatjes Notre Dame</w:t>
            </w:r>
          </w:p>
        </w:tc>
      </w:tr>
      <w:tr w:rsidR="007D4DA2" w:rsidRPr="00ED3FFB" w14:paraId="20F3AC89" w14:textId="77777777" w:rsidTr="00ED3FFB">
        <w:trPr>
          <w:tblCellSpacing w:w="15" w:type="dxa"/>
        </w:trPr>
        <w:tc>
          <w:tcPr>
            <w:tcW w:w="1485" w:type="dxa"/>
            <w:shd w:val="clear" w:color="auto" w:fill="FFFFFF"/>
            <w:vAlign w:val="center"/>
          </w:tcPr>
          <w:p w14:paraId="60F3803E"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KKP/NDC</w:t>
            </w:r>
          </w:p>
        </w:tc>
        <w:tc>
          <w:tcPr>
            <w:tcW w:w="8415" w:type="dxa"/>
            <w:shd w:val="clear" w:color="auto" w:fill="FFFFFF"/>
            <w:vAlign w:val="center"/>
          </w:tcPr>
          <w:p w14:paraId="788BA988"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Kontributi Kombëtar i Përcaktuar</w:t>
            </w:r>
          </w:p>
        </w:tc>
      </w:tr>
      <w:tr w:rsidR="007D4DA2" w:rsidRPr="00ED3FFB" w14:paraId="63375FF9" w14:textId="77777777" w:rsidTr="00ED3FFB">
        <w:trPr>
          <w:tblCellSpacing w:w="15" w:type="dxa"/>
        </w:trPr>
        <w:tc>
          <w:tcPr>
            <w:tcW w:w="1485" w:type="dxa"/>
            <w:shd w:val="clear" w:color="auto" w:fill="FFFFFF"/>
            <w:vAlign w:val="center"/>
          </w:tcPr>
          <w:p w14:paraId="3F2ECD6D"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KKP 3.0</w:t>
            </w:r>
          </w:p>
        </w:tc>
        <w:tc>
          <w:tcPr>
            <w:tcW w:w="8415" w:type="dxa"/>
            <w:shd w:val="clear" w:color="auto" w:fill="FFFFFF"/>
            <w:vAlign w:val="center"/>
          </w:tcPr>
          <w:p w14:paraId="018B9748"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bCs/>
                <w:color w:val="000000"/>
                <w:sz w:val="22"/>
                <w:szCs w:val="22"/>
              </w:rPr>
              <w:t>Kontributi i tretë</w:t>
            </w:r>
            <w:r>
              <w:rPr>
                <w:rFonts w:ascii="Calibri" w:hAnsi="Calibri"/>
                <w:bCs/>
                <w:color w:val="000000"/>
                <w:sz w:val="22"/>
                <w:szCs w:val="22"/>
              </w:rPr>
              <w:t xml:space="preserve"> </w:t>
            </w:r>
            <w:r>
              <w:rPr>
                <w:rFonts w:ascii="Calibri" w:hAnsi="Calibri"/>
                <w:color w:val="000000"/>
                <w:sz w:val="22"/>
                <w:szCs w:val="22"/>
              </w:rPr>
              <w:t>Kombëtar i Përcaktuar (KKP-ja e Shqipërisë për periudhën 2025–2035)</w:t>
            </w:r>
          </w:p>
        </w:tc>
      </w:tr>
      <w:tr w:rsidR="007D4DA2" w:rsidRPr="00ED3FFB" w14:paraId="6DF506D9" w14:textId="77777777" w:rsidTr="00ED3FFB">
        <w:trPr>
          <w:tblCellSpacing w:w="15" w:type="dxa"/>
        </w:trPr>
        <w:tc>
          <w:tcPr>
            <w:tcW w:w="1485" w:type="dxa"/>
            <w:shd w:val="clear" w:color="auto" w:fill="FFFFFF"/>
            <w:vAlign w:val="center"/>
          </w:tcPr>
          <w:p w14:paraId="5E69C3D9"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PKEK</w:t>
            </w:r>
          </w:p>
        </w:tc>
        <w:tc>
          <w:tcPr>
            <w:tcW w:w="8415" w:type="dxa"/>
            <w:shd w:val="clear" w:color="auto" w:fill="FFFFFF"/>
            <w:vAlign w:val="center"/>
          </w:tcPr>
          <w:p w14:paraId="1A8B52D2"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Plani Kombëtar i Energjisë dhe Klimës</w:t>
            </w:r>
          </w:p>
        </w:tc>
      </w:tr>
      <w:tr w:rsidR="007D4DA2" w:rsidRPr="00ED3FFB" w14:paraId="0C80567B" w14:textId="77777777" w:rsidTr="00ED3FFB">
        <w:trPr>
          <w:tblCellSpacing w:w="15" w:type="dxa"/>
        </w:trPr>
        <w:tc>
          <w:tcPr>
            <w:tcW w:w="1485" w:type="dxa"/>
            <w:shd w:val="clear" w:color="auto" w:fill="FFFFFF"/>
            <w:vAlign w:val="center"/>
          </w:tcPr>
          <w:p w14:paraId="6C149463"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NF3</w:t>
            </w:r>
          </w:p>
        </w:tc>
        <w:tc>
          <w:tcPr>
            <w:tcW w:w="8415" w:type="dxa"/>
            <w:shd w:val="clear" w:color="auto" w:fill="FFFFFF"/>
            <w:vAlign w:val="center"/>
          </w:tcPr>
          <w:p w14:paraId="6C8D86FC"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Trifluoridi i azotit (gaz me efekt serrë)</w:t>
            </w:r>
          </w:p>
        </w:tc>
      </w:tr>
      <w:tr w:rsidR="007D4DA2" w:rsidRPr="00ED3FFB" w14:paraId="6C91D46E" w14:textId="77777777" w:rsidTr="00ED3FFB">
        <w:trPr>
          <w:tblCellSpacing w:w="15" w:type="dxa"/>
        </w:trPr>
        <w:tc>
          <w:tcPr>
            <w:tcW w:w="1485" w:type="dxa"/>
            <w:shd w:val="clear" w:color="auto" w:fill="FFFFFF"/>
            <w:vAlign w:val="center"/>
          </w:tcPr>
          <w:p w14:paraId="32825393"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DIK/NID</w:t>
            </w:r>
          </w:p>
        </w:tc>
        <w:tc>
          <w:tcPr>
            <w:tcW w:w="8415" w:type="dxa"/>
            <w:shd w:val="clear" w:color="auto" w:fill="FFFFFF"/>
            <w:vAlign w:val="center"/>
          </w:tcPr>
          <w:p w14:paraId="4CCCEC4B"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Dokumenti i Inventarit Kombëtar</w:t>
            </w:r>
          </w:p>
        </w:tc>
      </w:tr>
      <w:tr w:rsidR="007D4DA2" w:rsidRPr="00ED3FFB" w14:paraId="206F2EAF" w14:textId="77777777" w:rsidTr="00ED3FFB">
        <w:trPr>
          <w:tblCellSpacing w:w="15" w:type="dxa"/>
        </w:trPr>
        <w:tc>
          <w:tcPr>
            <w:tcW w:w="1485" w:type="dxa"/>
            <w:shd w:val="clear" w:color="auto" w:fill="FFFFFF"/>
            <w:vAlign w:val="center"/>
          </w:tcPr>
          <w:p w14:paraId="318F8256"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RIK/NIR</w:t>
            </w:r>
          </w:p>
        </w:tc>
        <w:tc>
          <w:tcPr>
            <w:tcW w:w="8415" w:type="dxa"/>
            <w:shd w:val="clear" w:color="auto" w:fill="FFFFFF"/>
            <w:vAlign w:val="center"/>
          </w:tcPr>
          <w:p w14:paraId="6987F92D"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Raporti i Inventarit Kombëtar</w:t>
            </w:r>
          </w:p>
        </w:tc>
      </w:tr>
      <w:tr w:rsidR="007D4DA2" w:rsidRPr="00ED3FFB" w14:paraId="1B76082D" w14:textId="77777777" w:rsidTr="00ED3FFB">
        <w:trPr>
          <w:tblCellSpacing w:w="15" w:type="dxa"/>
        </w:trPr>
        <w:tc>
          <w:tcPr>
            <w:tcW w:w="1485" w:type="dxa"/>
            <w:shd w:val="clear" w:color="auto" w:fill="FFFFFF"/>
            <w:vAlign w:val="center"/>
          </w:tcPr>
          <w:p w14:paraId="645EA24C"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PFC</w:t>
            </w:r>
          </w:p>
        </w:tc>
        <w:tc>
          <w:tcPr>
            <w:tcW w:w="8415" w:type="dxa"/>
            <w:shd w:val="clear" w:color="auto" w:fill="FFFFFF"/>
            <w:vAlign w:val="center"/>
          </w:tcPr>
          <w:p w14:paraId="1D853CB1"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Perfluorokarbon</w:t>
            </w:r>
          </w:p>
        </w:tc>
      </w:tr>
      <w:tr w:rsidR="007D4DA2" w:rsidRPr="00ED3FFB" w14:paraId="148DD6FA" w14:textId="77777777" w:rsidTr="00ED3FFB">
        <w:trPr>
          <w:tblCellSpacing w:w="15" w:type="dxa"/>
        </w:trPr>
        <w:tc>
          <w:tcPr>
            <w:tcW w:w="1485" w:type="dxa"/>
            <w:shd w:val="clear" w:color="auto" w:fill="FFFFFF"/>
            <w:vAlign w:val="center"/>
          </w:tcPr>
          <w:p w14:paraId="1A2470D4"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FV</w:t>
            </w:r>
          </w:p>
        </w:tc>
        <w:tc>
          <w:tcPr>
            <w:tcW w:w="8415" w:type="dxa"/>
            <w:shd w:val="clear" w:color="auto" w:fill="FFFFFF"/>
            <w:vAlign w:val="center"/>
          </w:tcPr>
          <w:p w14:paraId="03093DA0"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Fotovoltaike (teknologji diellore fotovoltaike)</w:t>
            </w:r>
          </w:p>
        </w:tc>
      </w:tr>
      <w:tr w:rsidR="007D4DA2" w:rsidRPr="00ED3FFB" w14:paraId="3978C5EB" w14:textId="77777777" w:rsidTr="00ED3FFB">
        <w:trPr>
          <w:tblCellSpacing w:w="15" w:type="dxa"/>
        </w:trPr>
        <w:tc>
          <w:tcPr>
            <w:tcW w:w="1485" w:type="dxa"/>
            <w:shd w:val="clear" w:color="auto" w:fill="FFFFFF"/>
            <w:vAlign w:val="center"/>
          </w:tcPr>
          <w:p w14:paraId="207D02FA"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ER</w:t>
            </w:r>
          </w:p>
        </w:tc>
        <w:tc>
          <w:tcPr>
            <w:tcW w:w="8415" w:type="dxa"/>
            <w:shd w:val="clear" w:color="auto" w:fill="FFFFFF"/>
            <w:vAlign w:val="center"/>
          </w:tcPr>
          <w:p w14:paraId="76E7E63E"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Energjia e rinovueshme</w:t>
            </w:r>
          </w:p>
        </w:tc>
      </w:tr>
      <w:tr w:rsidR="007D4DA2" w:rsidRPr="00ED3FFB" w14:paraId="7C562456" w14:textId="77777777" w:rsidTr="00ED3FFB">
        <w:trPr>
          <w:tblCellSpacing w:w="15" w:type="dxa"/>
        </w:trPr>
        <w:tc>
          <w:tcPr>
            <w:tcW w:w="1485" w:type="dxa"/>
            <w:shd w:val="clear" w:color="auto" w:fill="FFFFFF"/>
            <w:vAlign w:val="center"/>
          </w:tcPr>
          <w:p w14:paraId="694DA9B3"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BRE</w:t>
            </w:r>
          </w:p>
        </w:tc>
        <w:tc>
          <w:tcPr>
            <w:tcW w:w="8415" w:type="dxa"/>
            <w:shd w:val="clear" w:color="auto" w:fill="FFFFFF"/>
            <w:vAlign w:val="center"/>
          </w:tcPr>
          <w:p w14:paraId="6374365B"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Burimet e energjisë së rinovueshme</w:t>
            </w:r>
          </w:p>
        </w:tc>
      </w:tr>
      <w:tr w:rsidR="007D4DA2" w:rsidRPr="00ED3FFB" w14:paraId="1C00EBA5" w14:textId="77777777" w:rsidTr="00ED3FFB">
        <w:trPr>
          <w:tblCellSpacing w:w="15" w:type="dxa"/>
        </w:trPr>
        <w:tc>
          <w:tcPr>
            <w:tcW w:w="1485" w:type="dxa"/>
            <w:shd w:val="clear" w:color="auto" w:fill="FFFFFF"/>
            <w:vAlign w:val="center"/>
          </w:tcPr>
          <w:p w14:paraId="0FBCEAEF"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VSM</w:t>
            </w:r>
          </w:p>
        </w:tc>
        <w:tc>
          <w:tcPr>
            <w:tcW w:w="8415" w:type="dxa"/>
            <w:shd w:val="clear" w:color="auto" w:fill="FFFFFF"/>
            <w:vAlign w:val="center"/>
          </w:tcPr>
          <w:p w14:paraId="5D8D97AF"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Vlerësimi Strategjik Mjedisor</w:t>
            </w:r>
          </w:p>
        </w:tc>
      </w:tr>
      <w:tr w:rsidR="007D4DA2" w:rsidRPr="00ED3FFB" w14:paraId="1BCB1C2C" w14:textId="77777777" w:rsidTr="00ED3FFB">
        <w:trPr>
          <w:tblCellSpacing w:w="15" w:type="dxa"/>
        </w:trPr>
        <w:tc>
          <w:tcPr>
            <w:tcW w:w="1485" w:type="dxa"/>
            <w:shd w:val="clear" w:color="auto" w:fill="FFFFFF"/>
            <w:vAlign w:val="center"/>
          </w:tcPr>
          <w:p w14:paraId="6A5CCEF6"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SF6</w:t>
            </w:r>
          </w:p>
        </w:tc>
        <w:tc>
          <w:tcPr>
            <w:tcW w:w="8415" w:type="dxa"/>
            <w:shd w:val="clear" w:color="auto" w:fill="FFFFFF"/>
            <w:vAlign w:val="center"/>
          </w:tcPr>
          <w:p w14:paraId="057CB226"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Hekzafluoridi i squfurit (gaz me efekt serrë)</w:t>
            </w:r>
          </w:p>
        </w:tc>
      </w:tr>
      <w:tr w:rsidR="007D4DA2" w:rsidRPr="00ED3FFB" w14:paraId="34B2AAE2" w14:textId="77777777" w:rsidTr="00ED3FFB">
        <w:trPr>
          <w:tblCellSpacing w:w="15" w:type="dxa"/>
        </w:trPr>
        <w:tc>
          <w:tcPr>
            <w:tcW w:w="1485" w:type="dxa"/>
            <w:shd w:val="clear" w:color="auto" w:fill="FFFFFF"/>
            <w:vAlign w:val="center"/>
          </w:tcPr>
          <w:p w14:paraId="5A047895"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RrND</w:t>
            </w:r>
          </w:p>
        </w:tc>
        <w:tc>
          <w:tcPr>
            <w:tcW w:w="8415" w:type="dxa"/>
            <w:shd w:val="clear" w:color="auto" w:fill="FFFFFF"/>
            <w:vAlign w:val="center"/>
          </w:tcPr>
          <w:p w14:paraId="7892D999"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Rritja e nivelit të detit</w:t>
            </w:r>
          </w:p>
        </w:tc>
      </w:tr>
      <w:tr w:rsidR="007D4DA2" w:rsidRPr="00ED3FFB" w14:paraId="616B20D7" w14:textId="77777777" w:rsidTr="00ED3FFB">
        <w:trPr>
          <w:tblCellSpacing w:w="15" w:type="dxa"/>
        </w:trPr>
        <w:tc>
          <w:tcPr>
            <w:tcW w:w="1485" w:type="dxa"/>
            <w:shd w:val="clear" w:color="auto" w:fill="FFFFFF"/>
            <w:vAlign w:val="center"/>
          </w:tcPr>
          <w:p w14:paraId="455273F2"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TPS</w:t>
            </w:r>
          </w:p>
        </w:tc>
        <w:tc>
          <w:tcPr>
            <w:tcW w:w="8415" w:type="dxa"/>
            <w:shd w:val="clear" w:color="auto" w:fill="FFFFFF"/>
            <w:vAlign w:val="center"/>
          </w:tcPr>
          <w:p w14:paraId="0736EE93"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Trajektoret e përbashkëta socio-ekonomike</w:t>
            </w:r>
          </w:p>
        </w:tc>
      </w:tr>
      <w:tr w:rsidR="007D4DA2" w:rsidRPr="00ED3FFB" w14:paraId="0F1CEC9B" w14:textId="77777777" w:rsidTr="00ED3FFB">
        <w:trPr>
          <w:tblCellSpacing w:w="15" w:type="dxa"/>
        </w:trPr>
        <w:tc>
          <w:tcPr>
            <w:tcW w:w="1485" w:type="dxa"/>
            <w:shd w:val="clear" w:color="auto" w:fill="FFFFFF"/>
            <w:vAlign w:val="center"/>
          </w:tcPr>
          <w:p w14:paraId="65D7D515"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TPS 1-1.9</w:t>
            </w:r>
          </w:p>
        </w:tc>
        <w:tc>
          <w:tcPr>
            <w:tcW w:w="8415" w:type="dxa"/>
            <w:shd w:val="clear" w:color="auto" w:fill="FFFFFF"/>
            <w:vAlign w:val="center"/>
          </w:tcPr>
          <w:p w14:paraId="241685EF"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Trajektorja e përbashkët socio-ekonomike 1–1.9 (skenari i qëndrueshmërisë/shkarkimeve të ulëta)</w:t>
            </w:r>
          </w:p>
        </w:tc>
      </w:tr>
      <w:tr w:rsidR="007D4DA2" w:rsidRPr="00ED3FFB" w14:paraId="148DFD2B" w14:textId="77777777" w:rsidTr="00ED3FFB">
        <w:trPr>
          <w:tblCellSpacing w:w="15" w:type="dxa"/>
        </w:trPr>
        <w:tc>
          <w:tcPr>
            <w:tcW w:w="1485" w:type="dxa"/>
            <w:shd w:val="clear" w:color="auto" w:fill="FFFFFF"/>
            <w:vAlign w:val="center"/>
          </w:tcPr>
          <w:p w14:paraId="63ADB46C"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TPS 2-4.5</w:t>
            </w:r>
          </w:p>
        </w:tc>
        <w:tc>
          <w:tcPr>
            <w:tcW w:w="8415" w:type="dxa"/>
            <w:shd w:val="clear" w:color="auto" w:fill="FFFFFF"/>
            <w:vAlign w:val="center"/>
          </w:tcPr>
          <w:p w14:paraId="19EF8354"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Trajektorja e përbashkët socio-ekonomike 2–4.5 (skenari mesatar)</w:t>
            </w:r>
          </w:p>
        </w:tc>
      </w:tr>
      <w:tr w:rsidR="007D4DA2" w:rsidRPr="00ED3FFB" w14:paraId="4628DCCD" w14:textId="77777777" w:rsidTr="00ED3FFB">
        <w:trPr>
          <w:tblCellSpacing w:w="15" w:type="dxa"/>
        </w:trPr>
        <w:tc>
          <w:tcPr>
            <w:tcW w:w="1485" w:type="dxa"/>
            <w:shd w:val="clear" w:color="auto" w:fill="FFFFFF"/>
            <w:vAlign w:val="center"/>
          </w:tcPr>
          <w:p w14:paraId="26361152"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TPS 5-8.5</w:t>
            </w:r>
          </w:p>
        </w:tc>
        <w:tc>
          <w:tcPr>
            <w:tcW w:w="8415" w:type="dxa"/>
            <w:shd w:val="clear" w:color="auto" w:fill="FFFFFF"/>
            <w:vAlign w:val="center"/>
          </w:tcPr>
          <w:p w14:paraId="03434132"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Trajektorja e përbashkët socio-ekonomike 5–8.5 (skenari i lëndëve djegëse fosile/shkarkimeve të larta)</w:t>
            </w:r>
          </w:p>
        </w:tc>
      </w:tr>
      <w:tr w:rsidR="007D4DA2" w:rsidRPr="00ED3FFB" w14:paraId="0A1C99E4" w14:textId="77777777" w:rsidTr="00ED3FFB">
        <w:trPr>
          <w:tblCellSpacing w:w="15" w:type="dxa"/>
        </w:trPr>
        <w:tc>
          <w:tcPr>
            <w:tcW w:w="1485" w:type="dxa"/>
            <w:shd w:val="clear" w:color="auto" w:fill="FFFFFF"/>
            <w:vAlign w:val="center"/>
          </w:tcPr>
          <w:p w14:paraId="7C78FBC2"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KKKBNK</w:t>
            </w:r>
          </w:p>
        </w:tc>
        <w:tc>
          <w:tcPr>
            <w:tcW w:w="8415" w:type="dxa"/>
            <w:shd w:val="clear" w:color="auto" w:fill="FFFFFF"/>
            <w:vAlign w:val="center"/>
          </w:tcPr>
          <w:p w14:paraId="485F4666"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Konventa Kuadër e Kombeve të Bashkuara për Ndryshimet Klimatike</w:t>
            </w:r>
          </w:p>
        </w:tc>
      </w:tr>
      <w:tr w:rsidR="007D4DA2" w:rsidRPr="00ED3FFB" w14:paraId="0E739068" w14:textId="77777777" w:rsidTr="00ED3FFB">
        <w:trPr>
          <w:tblCellSpacing w:w="15" w:type="dxa"/>
        </w:trPr>
        <w:tc>
          <w:tcPr>
            <w:tcW w:w="1485" w:type="dxa"/>
            <w:shd w:val="clear" w:color="auto" w:fill="FFFFFF"/>
            <w:vAlign w:val="center"/>
          </w:tcPr>
          <w:p w14:paraId="06486359"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USD</w:t>
            </w:r>
          </w:p>
        </w:tc>
        <w:tc>
          <w:tcPr>
            <w:tcW w:w="8415" w:type="dxa"/>
            <w:shd w:val="clear" w:color="auto" w:fill="FFFFFF"/>
            <w:vAlign w:val="center"/>
          </w:tcPr>
          <w:p w14:paraId="2218048E"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Dollarë amerikanë (US$)</w:t>
            </w:r>
          </w:p>
        </w:tc>
      </w:tr>
      <w:tr w:rsidR="007D4DA2" w:rsidRPr="00ED3FFB" w14:paraId="530A5125" w14:textId="77777777" w:rsidTr="00ED3FFB">
        <w:trPr>
          <w:tblCellSpacing w:w="15" w:type="dxa"/>
        </w:trPr>
        <w:tc>
          <w:tcPr>
            <w:tcW w:w="1485" w:type="dxa"/>
            <w:shd w:val="clear" w:color="auto" w:fill="FFFFFF"/>
            <w:vAlign w:val="center"/>
          </w:tcPr>
          <w:p w14:paraId="0277B0F0"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WAM</w:t>
            </w:r>
          </w:p>
        </w:tc>
        <w:tc>
          <w:tcPr>
            <w:tcW w:w="8415" w:type="dxa"/>
            <w:shd w:val="clear" w:color="auto" w:fill="FFFFFF"/>
            <w:vAlign w:val="center"/>
          </w:tcPr>
          <w:p w14:paraId="44CBA1C8"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Me masa shtesë (skenar)</w:t>
            </w:r>
          </w:p>
        </w:tc>
      </w:tr>
      <w:tr w:rsidR="007D4DA2" w:rsidRPr="00ED3FFB" w14:paraId="0428E1FB" w14:textId="77777777" w:rsidTr="00ED3FFB">
        <w:trPr>
          <w:tblCellSpacing w:w="15" w:type="dxa"/>
        </w:trPr>
        <w:tc>
          <w:tcPr>
            <w:tcW w:w="1485" w:type="dxa"/>
            <w:shd w:val="clear" w:color="auto" w:fill="FFFFFF"/>
            <w:vAlign w:val="center"/>
          </w:tcPr>
          <w:p w14:paraId="4DD7E0F7" w14:textId="77777777" w:rsidR="007D4DA2" w:rsidRPr="00ED3FFB" w:rsidRDefault="007D4DA2" w:rsidP="007D4DA2">
            <w:pPr>
              <w:spacing w:before="0"/>
              <w:jc w:val="left"/>
              <w:rPr>
                <w:rFonts w:ascii="Calibri" w:hAnsi="Calibri" w:cs="Calibri"/>
                <w:color w:val="000000"/>
                <w:sz w:val="22"/>
                <w:szCs w:val="22"/>
              </w:rPr>
            </w:pPr>
            <w:r>
              <w:rPr>
                <w:rStyle w:val="Strong"/>
                <w:rFonts w:ascii="Calibri" w:hAnsi="Calibri"/>
                <w:color w:val="000000"/>
                <w:sz w:val="22"/>
                <w:szCs w:val="22"/>
              </w:rPr>
              <w:t>WEM</w:t>
            </w:r>
          </w:p>
        </w:tc>
        <w:tc>
          <w:tcPr>
            <w:tcW w:w="8415" w:type="dxa"/>
            <w:shd w:val="clear" w:color="auto" w:fill="FFFFFF"/>
            <w:vAlign w:val="center"/>
          </w:tcPr>
          <w:p w14:paraId="6DDE4C7A" w14:textId="77777777" w:rsidR="007D4DA2" w:rsidRPr="00ED3FFB" w:rsidRDefault="007D4DA2" w:rsidP="007D4DA2">
            <w:pPr>
              <w:spacing w:before="0"/>
              <w:jc w:val="left"/>
              <w:rPr>
                <w:rFonts w:ascii="Calibri" w:hAnsi="Calibri" w:cs="Calibri"/>
                <w:color w:val="000000"/>
                <w:sz w:val="22"/>
                <w:szCs w:val="22"/>
              </w:rPr>
            </w:pPr>
            <w:r>
              <w:rPr>
                <w:rFonts w:ascii="Calibri" w:hAnsi="Calibri"/>
                <w:color w:val="000000"/>
                <w:sz w:val="22"/>
                <w:szCs w:val="22"/>
              </w:rPr>
              <w:t>Me masa ekzistuese (skenar)</w:t>
            </w:r>
          </w:p>
        </w:tc>
      </w:tr>
    </w:tbl>
    <w:p w14:paraId="2F71FED3" w14:textId="77777777" w:rsidR="00DD72AB" w:rsidRDefault="00DD72AB" w:rsidP="00DD72AB">
      <w:pPr>
        <w:spacing w:before="0"/>
      </w:pPr>
    </w:p>
    <w:p w14:paraId="7311D298" w14:textId="77777777" w:rsidR="00ED3FFB" w:rsidRDefault="00ED3FFB" w:rsidP="00DD72AB">
      <w:pPr>
        <w:spacing w:before="0"/>
      </w:pPr>
    </w:p>
    <w:p w14:paraId="75085B69" w14:textId="77777777" w:rsidR="00ED3FFB" w:rsidRDefault="00ED3FFB" w:rsidP="00DD72AB">
      <w:pPr>
        <w:spacing w:before="0"/>
      </w:pPr>
    </w:p>
    <w:p w14:paraId="10E9710B" w14:textId="77777777" w:rsidR="00ED3FFB" w:rsidRDefault="00ED3FFB" w:rsidP="00DD72AB">
      <w:pPr>
        <w:spacing w:before="0"/>
      </w:pPr>
    </w:p>
    <w:p w14:paraId="265CBAE2" w14:textId="77777777" w:rsidR="00ED3FFB" w:rsidRDefault="00ED3FFB" w:rsidP="00DD72AB">
      <w:pPr>
        <w:spacing w:before="0"/>
      </w:pPr>
    </w:p>
    <w:p w14:paraId="78060A71" w14:textId="77777777" w:rsidR="00ED3FFB" w:rsidRDefault="00ED3FFB" w:rsidP="00DD72AB">
      <w:pPr>
        <w:spacing w:before="0"/>
      </w:pPr>
    </w:p>
    <w:p w14:paraId="34C63D1C" w14:textId="77777777" w:rsidR="00CA449B" w:rsidRPr="00420F06" w:rsidRDefault="00CA449B" w:rsidP="00080797">
      <w:pPr>
        <w:pStyle w:val="StyleHeading1Left0Firstline0"/>
        <w:numPr>
          <w:ilvl w:val="0"/>
          <w:numId w:val="0"/>
        </w:numPr>
        <w:spacing w:before="0"/>
        <w:rPr>
          <w:rFonts w:asciiTheme="majorHAnsi" w:hAnsiTheme="majorHAnsi" w:cstheme="majorHAnsi"/>
        </w:rPr>
      </w:pPr>
      <w:bookmarkStart w:id="3" w:name="_Toc290221120"/>
      <w:bookmarkStart w:id="4" w:name="_Toc216778851"/>
      <w:r>
        <w:rPr>
          <w:rFonts w:asciiTheme="majorHAnsi" w:hAnsiTheme="majorHAnsi"/>
        </w:rPr>
        <w:t>Lista e tabelave</w:t>
      </w:r>
      <w:bookmarkEnd w:id="3"/>
      <w:bookmarkEnd w:id="4"/>
    </w:p>
    <w:p w14:paraId="34C63D1D" w14:textId="77777777" w:rsidR="00CA449B" w:rsidRPr="00420F06" w:rsidRDefault="00CA449B" w:rsidP="00080797">
      <w:pPr>
        <w:jc w:val="right"/>
        <w:rPr>
          <w:rFonts w:asciiTheme="majorHAnsi" w:hAnsiTheme="majorHAnsi" w:cstheme="majorHAnsi"/>
          <w:u w:val="single"/>
        </w:rPr>
      </w:pPr>
      <w:r>
        <w:rPr>
          <w:rFonts w:asciiTheme="majorHAnsi" w:hAnsiTheme="majorHAnsi"/>
          <w:u w:val="single"/>
        </w:rPr>
        <w:t>Faqja</w:t>
      </w:r>
    </w:p>
    <w:p w14:paraId="73A9803F" w14:textId="2CF3BD78" w:rsidR="00E40703" w:rsidRDefault="00387652">
      <w:pPr>
        <w:pStyle w:val="TableofFigures"/>
        <w:tabs>
          <w:tab w:val="right" w:leader="dot" w:pos="9350"/>
        </w:tabs>
        <w:rPr>
          <w:rFonts w:asciiTheme="minorHAnsi" w:eastAsiaTheme="minorEastAsia" w:hAnsiTheme="minorHAnsi" w:cstheme="minorBidi"/>
          <w:noProof/>
          <w:kern w:val="2"/>
          <w:lang w:val="en-US"/>
          <w14:ligatures w14:val="standardContextual"/>
        </w:rPr>
      </w:pPr>
      <w:r w:rsidRPr="00420F06">
        <w:rPr>
          <w:rFonts w:asciiTheme="majorHAnsi" w:hAnsiTheme="majorHAnsi" w:cstheme="majorHAnsi"/>
          <w:u w:val="single"/>
        </w:rPr>
        <w:fldChar w:fldCharType="begin"/>
      </w:r>
      <w:r w:rsidR="00CA449B" w:rsidRPr="00420F06">
        <w:rPr>
          <w:rFonts w:asciiTheme="majorHAnsi" w:hAnsiTheme="majorHAnsi" w:cstheme="majorHAnsi"/>
          <w:u w:val="single"/>
        </w:rPr>
        <w:instrText xml:space="preserve"> TOC \h \z \c "Table" </w:instrText>
      </w:r>
      <w:r w:rsidRPr="00420F06">
        <w:rPr>
          <w:rFonts w:asciiTheme="majorHAnsi" w:hAnsiTheme="majorHAnsi" w:cstheme="majorHAnsi"/>
          <w:u w:val="single"/>
        </w:rPr>
        <w:fldChar w:fldCharType="separate"/>
      </w:r>
      <w:hyperlink w:anchor="_Toc216778884" w:history="1">
        <w:r w:rsidR="00E40703" w:rsidRPr="006D516C">
          <w:rPr>
            <w:rStyle w:val="Hyperlink"/>
            <w:noProof/>
          </w:rPr>
          <w:t xml:space="preserve">Tabela </w:t>
        </w:r>
        <w:r w:rsidR="00E40703" w:rsidRPr="006D516C">
          <w:rPr>
            <w:rStyle w:val="Hyperlink"/>
            <w:rFonts w:cstheme="majorHAnsi"/>
            <w:noProof/>
          </w:rPr>
          <w:t>1</w:t>
        </w:r>
        <w:r w:rsidR="00E40703" w:rsidRPr="006D516C">
          <w:rPr>
            <w:rStyle w:val="Hyperlink"/>
            <w:noProof/>
          </w:rPr>
          <w:t>: Përshkrimi i KKP-së 3.0 së Shqipërisë</w:t>
        </w:r>
        <w:r w:rsidR="00E40703">
          <w:rPr>
            <w:noProof/>
            <w:webHidden/>
          </w:rPr>
          <w:tab/>
        </w:r>
        <w:r w:rsidR="00E40703">
          <w:rPr>
            <w:noProof/>
            <w:webHidden/>
          </w:rPr>
          <w:fldChar w:fldCharType="begin"/>
        </w:r>
        <w:r w:rsidR="00E40703">
          <w:rPr>
            <w:noProof/>
            <w:webHidden/>
          </w:rPr>
          <w:instrText xml:space="preserve"> PAGEREF _Toc216778884 \h </w:instrText>
        </w:r>
        <w:r w:rsidR="00E40703">
          <w:rPr>
            <w:noProof/>
            <w:webHidden/>
          </w:rPr>
        </w:r>
        <w:r w:rsidR="00E40703">
          <w:rPr>
            <w:noProof/>
            <w:webHidden/>
          </w:rPr>
          <w:fldChar w:fldCharType="separate"/>
        </w:r>
        <w:r w:rsidR="00E40703">
          <w:rPr>
            <w:noProof/>
            <w:webHidden/>
          </w:rPr>
          <w:t>15</w:t>
        </w:r>
        <w:r w:rsidR="00E40703">
          <w:rPr>
            <w:noProof/>
            <w:webHidden/>
          </w:rPr>
          <w:fldChar w:fldCharType="end"/>
        </w:r>
      </w:hyperlink>
    </w:p>
    <w:p w14:paraId="48A9F343" w14:textId="478154E5"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85" w:history="1">
        <w:r w:rsidRPr="006D516C">
          <w:rPr>
            <w:rStyle w:val="Hyperlink"/>
            <w:noProof/>
          </w:rPr>
          <w:t xml:space="preserve">Tabela </w:t>
        </w:r>
        <w:r w:rsidRPr="006D516C">
          <w:rPr>
            <w:rStyle w:val="Hyperlink"/>
            <w:rFonts w:cstheme="majorHAnsi"/>
            <w:noProof/>
          </w:rPr>
          <w:t>2</w:t>
        </w:r>
        <w:r w:rsidRPr="006D516C">
          <w:rPr>
            <w:rStyle w:val="Hyperlink"/>
            <w:noProof/>
          </w:rPr>
          <w:t>: Objektivat lidhur me përqindjes e energjisë nga burimet e energjisë së rinovueshme (BRE) në raport me konsumin final bruto të energjisë.</w:t>
        </w:r>
        <w:r>
          <w:rPr>
            <w:noProof/>
            <w:webHidden/>
          </w:rPr>
          <w:tab/>
        </w:r>
        <w:r>
          <w:rPr>
            <w:noProof/>
            <w:webHidden/>
          </w:rPr>
          <w:fldChar w:fldCharType="begin"/>
        </w:r>
        <w:r>
          <w:rPr>
            <w:noProof/>
            <w:webHidden/>
          </w:rPr>
          <w:instrText xml:space="preserve"> PAGEREF _Toc216778885 \h </w:instrText>
        </w:r>
        <w:r>
          <w:rPr>
            <w:noProof/>
            <w:webHidden/>
          </w:rPr>
        </w:r>
        <w:r>
          <w:rPr>
            <w:noProof/>
            <w:webHidden/>
          </w:rPr>
          <w:fldChar w:fldCharType="separate"/>
        </w:r>
        <w:r>
          <w:rPr>
            <w:noProof/>
            <w:webHidden/>
          </w:rPr>
          <w:t>22</w:t>
        </w:r>
        <w:r>
          <w:rPr>
            <w:noProof/>
            <w:webHidden/>
          </w:rPr>
          <w:fldChar w:fldCharType="end"/>
        </w:r>
      </w:hyperlink>
    </w:p>
    <w:p w14:paraId="3AE62D47" w14:textId="490A4198"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86" w:history="1">
        <w:r w:rsidRPr="006D516C">
          <w:rPr>
            <w:rStyle w:val="Hyperlink"/>
            <w:noProof/>
          </w:rPr>
          <w:t xml:space="preserve">Tabela </w:t>
        </w:r>
        <w:r w:rsidRPr="006D516C">
          <w:rPr>
            <w:rStyle w:val="Hyperlink"/>
            <w:rFonts w:cstheme="majorHAnsi"/>
            <w:noProof/>
          </w:rPr>
          <w:t>3</w:t>
        </w:r>
        <w:r w:rsidRPr="006D516C">
          <w:rPr>
            <w:rStyle w:val="Hyperlink"/>
            <w:noProof/>
          </w:rPr>
          <w:t>: Objektivat për konsumin final të energjisë</w:t>
        </w:r>
        <w:r>
          <w:rPr>
            <w:noProof/>
            <w:webHidden/>
          </w:rPr>
          <w:tab/>
        </w:r>
        <w:r>
          <w:rPr>
            <w:noProof/>
            <w:webHidden/>
          </w:rPr>
          <w:fldChar w:fldCharType="begin"/>
        </w:r>
        <w:r>
          <w:rPr>
            <w:noProof/>
            <w:webHidden/>
          </w:rPr>
          <w:instrText xml:space="preserve"> PAGEREF _Toc216778886 \h </w:instrText>
        </w:r>
        <w:r>
          <w:rPr>
            <w:noProof/>
            <w:webHidden/>
          </w:rPr>
        </w:r>
        <w:r>
          <w:rPr>
            <w:noProof/>
            <w:webHidden/>
          </w:rPr>
          <w:fldChar w:fldCharType="separate"/>
        </w:r>
        <w:r>
          <w:rPr>
            <w:noProof/>
            <w:webHidden/>
          </w:rPr>
          <w:t>23</w:t>
        </w:r>
        <w:r>
          <w:rPr>
            <w:noProof/>
            <w:webHidden/>
          </w:rPr>
          <w:fldChar w:fldCharType="end"/>
        </w:r>
      </w:hyperlink>
    </w:p>
    <w:p w14:paraId="2B63D1C3" w14:textId="295E293A"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87" w:history="1">
        <w:r w:rsidRPr="006D516C">
          <w:rPr>
            <w:rStyle w:val="Hyperlink"/>
            <w:noProof/>
          </w:rPr>
          <w:t xml:space="preserve">Tabela </w:t>
        </w:r>
        <w:r w:rsidRPr="006D516C">
          <w:rPr>
            <w:rStyle w:val="Hyperlink"/>
            <w:rFonts w:cstheme="majorHAnsi"/>
            <w:noProof/>
          </w:rPr>
          <w:t>4</w:t>
        </w:r>
        <w:r w:rsidRPr="006D516C">
          <w:rPr>
            <w:rStyle w:val="Hyperlink"/>
            <w:noProof/>
          </w:rPr>
          <w:t>: Përmbledhje e veprimeve kryesore për zbutjen</w:t>
        </w:r>
        <w:r>
          <w:rPr>
            <w:noProof/>
            <w:webHidden/>
          </w:rPr>
          <w:tab/>
        </w:r>
        <w:r>
          <w:rPr>
            <w:noProof/>
            <w:webHidden/>
          </w:rPr>
          <w:fldChar w:fldCharType="begin"/>
        </w:r>
        <w:r>
          <w:rPr>
            <w:noProof/>
            <w:webHidden/>
          </w:rPr>
          <w:instrText xml:space="preserve"> PAGEREF _Toc216778887 \h </w:instrText>
        </w:r>
        <w:r>
          <w:rPr>
            <w:noProof/>
            <w:webHidden/>
          </w:rPr>
        </w:r>
        <w:r>
          <w:rPr>
            <w:noProof/>
            <w:webHidden/>
          </w:rPr>
          <w:fldChar w:fldCharType="separate"/>
        </w:r>
        <w:r>
          <w:rPr>
            <w:noProof/>
            <w:webHidden/>
          </w:rPr>
          <w:t>25</w:t>
        </w:r>
        <w:r>
          <w:rPr>
            <w:noProof/>
            <w:webHidden/>
          </w:rPr>
          <w:fldChar w:fldCharType="end"/>
        </w:r>
      </w:hyperlink>
    </w:p>
    <w:p w14:paraId="2F72FEEE" w14:textId="3ADA4D82"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88" w:history="1">
        <w:r w:rsidRPr="006D516C">
          <w:rPr>
            <w:rStyle w:val="Hyperlink"/>
            <w:noProof/>
          </w:rPr>
          <w:t>Tabela 5: Rreziqet, ndikimet dhe cenueshmëria në sektorin e bujqësisë</w:t>
        </w:r>
        <w:r>
          <w:rPr>
            <w:noProof/>
            <w:webHidden/>
          </w:rPr>
          <w:tab/>
        </w:r>
        <w:r>
          <w:rPr>
            <w:noProof/>
            <w:webHidden/>
          </w:rPr>
          <w:fldChar w:fldCharType="begin"/>
        </w:r>
        <w:r>
          <w:rPr>
            <w:noProof/>
            <w:webHidden/>
          </w:rPr>
          <w:instrText xml:space="preserve"> PAGEREF _Toc216778888 \h </w:instrText>
        </w:r>
        <w:r>
          <w:rPr>
            <w:noProof/>
            <w:webHidden/>
          </w:rPr>
        </w:r>
        <w:r>
          <w:rPr>
            <w:noProof/>
            <w:webHidden/>
          </w:rPr>
          <w:fldChar w:fldCharType="separate"/>
        </w:r>
        <w:r>
          <w:rPr>
            <w:noProof/>
            <w:webHidden/>
          </w:rPr>
          <w:t>41</w:t>
        </w:r>
        <w:r>
          <w:rPr>
            <w:noProof/>
            <w:webHidden/>
          </w:rPr>
          <w:fldChar w:fldCharType="end"/>
        </w:r>
      </w:hyperlink>
    </w:p>
    <w:p w14:paraId="69AAC92C" w14:textId="12B4D5FE"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89" w:history="1">
        <w:r w:rsidRPr="006D516C">
          <w:rPr>
            <w:rStyle w:val="Hyperlink"/>
            <w:noProof/>
          </w:rPr>
          <w:t>Tabela 6: Rreziqet, ndikimet dhe cenueshmëria në sektorin e turizmit</w:t>
        </w:r>
        <w:r>
          <w:rPr>
            <w:noProof/>
            <w:webHidden/>
          </w:rPr>
          <w:tab/>
        </w:r>
        <w:r>
          <w:rPr>
            <w:noProof/>
            <w:webHidden/>
          </w:rPr>
          <w:fldChar w:fldCharType="begin"/>
        </w:r>
        <w:r>
          <w:rPr>
            <w:noProof/>
            <w:webHidden/>
          </w:rPr>
          <w:instrText xml:space="preserve"> PAGEREF _Toc216778889 \h </w:instrText>
        </w:r>
        <w:r>
          <w:rPr>
            <w:noProof/>
            <w:webHidden/>
          </w:rPr>
        </w:r>
        <w:r>
          <w:rPr>
            <w:noProof/>
            <w:webHidden/>
          </w:rPr>
          <w:fldChar w:fldCharType="separate"/>
        </w:r>
        <w:r>
          <w:rPr>
            <w:noProof/>
            <w:webHidden/>
          </w:rPr>
          <w:t>43</w:t>
        </w:r>
        <w:r>
          <w:rPr>
            <w:noProof/>
            <w:webHidden/>
          </w:rPr>
          <w:fldChar w:fldCharType="end"/>
        </w:r>
      </w:hyperlink>
    </w:p>
    <w:p w14:paraId="57F49F95" w14:textId="23C85467"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90" w:history="1">
        <w:r w:rsidRPr="006D516C">
          <w:rPr>
            <w:rStyle w:val="Hyperlink"/>
            <w:noProof/>
          </w:rPr>
          <w:t>Tabela 7: Rreziqet, ndikimet dhe cenueshmëria në sektorin e energjisë</w:t>
        </w:r>
        <w:r>
          <w:rPr>
            <w:noProof/>
            <w:webHidden/>
          </w:rPr>
          <w:tab/>
        </w:r>
        <w:r>
          <w:rPr>
            <w:noProof/>
            <w:webHidden/>
          </w:rPr>
          <w:fldChar w:fldCharType="begin"/>
        </w:r>
        <w:r>
          <w:rPr>
            <w:noProof/>
            <w:webHidden/>
          </w:rPr>
          <w:instrText xml:space="preserve"> PAGEREF _Toc216778890 \h </w:instrText>
        </w:r>
        <w:r>
          <w:rPr>
            <w:noProof/>
            <w:webHidden/>
          </w:rPr>
        </w:r>
        <w:r>
          <w:rPr>
            <w:noProof/>
            <w:webHidden/>
          </w:rPr>
          <w:fldChar w:fldCharType="separate"/>
        </w:r>
        <w:r>
          <w:rPr>
            <w:noProof/>
            <w:webHidden/>
          </w:rPr>
          <w:t>43</w:t>
        </w:r>
        <w:r>
          <w:rPr>
            <w:noProof/>
            <w:webHidden/>
          </w:rPr>
          <w:fldChar w:fldCharType="end"/>
        </w:r>
      </w:hyperlink>
    </w:p>
    <w:p w14:paraId="5E9B07F8" w14:textId="50BDB771"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91" w:history="1">
        <w:r w:rsidRPr="006D516C">
          <w:rPr>
            <w:rStyle w:val="Hyperlink"/>
            <w:noProof/>
          </w:rPr>
          <w:t>Tabela 8: Rreziqet, ndikimet dhe cenueshmëria në sektorin e transportit</w:t>
        </w:r>
        <w:r>
          <w:rPr>
            <w:noProof/>
            <w:webHidden/>
          </w:rPr>
          <w:tab/>
        </w:r>
        <w:r>
          <w:rPr>
            <w:noProof/>
            <w:webHidden/>
          </w:rPr>
          <w:fldChar w:fldCharType="begin"/>
        </w:r>
        <w:r>
          <w:rPr>
            <w:noProof/>
            <w:webHidden/>
          </w:rPr>
          <w:instrText xml:space="preserve"> PAGEREF _Toc216778891 \h </w:instrText>
        </w:r>
        <w:r>
          <w:rPr>
            <w:noProof/>
            <w:webHidden/>
          </w:rPr>
        </w:r>
        <w:r>
          <w:rPr>
            <w:noProof/>
            <w:webHidden/>
          </w:rPr>
          <w:fldChar w:fldCharType="separate"/>
        </w:r>
        <w:r>
          <w:rPr>
            <w:noProof/>
            <w:webHidden/>
          </w:rPr>
          <w:t>44</w:t>
        </w:r>
        <w:r>
          <w:rPr>
            <w:noProof/>
            <w:webHidden/>
          </w:rPr>
          <w:fldChar w:fldCharType="end"/>
        </w:r>
      </w:hyperlink>
    </w:p>
    <w:p w14:paraId="7C8DA40F" w14:textId="606F8019"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92" w:history="1">
        <w:r w:rsidRPr="006D516C">
          <w:rPr>
            <w:rStyle w:val="Hyperlink"/>
            <w:noProof/>
          </w:rPr>
          <w:t>Tabela 9: Rreziqet, ndikimet dhe cenueshmëria në sektorin e zhvillimit urban</w:t>
        </w:r>
        <w:r>
          <w:rPr>
            <w:noProof/>
            <w:webHidden/>
          </w:rPr>
          <w:tab/>
        </w:r>
        <w:r>
          <w:rPr>
            <w:noProof/>
            <w:webHidden/>
          </w:rPr>
          <w:fldChar w:fldCharType="begin"/>
        </w:r>
        <w:r>
          <w:rPr>
            <w:noProof/>
            <w:webHidden/>
          </w:rPr>
          <w:instrText xml:space="preserve"> PAGEREF _Toc216778892 \h </w:instrText>
        </w:r>
        <w:r>
          <w:rPr>
            <w:noProof/>
            <w:webHidden/>
          </w:rPr>
        </w:r>
        <w:r>
          <w:rPr>
            <w:noProof/>
            <w:webHidden/>
          </w:rPr>
          <w:fldChar w:fldCharType="separate"/>
        </w:r>
        <w:r>
          <w:rPr>
            <w:noProof/>
            <w:webHidden/>
          </w:rPr>
          <w:t>45</w:t>
        </w:r>
        <w:r>
          <w:rPr>
            <w:noProof/>
            <w:webHidden/>
          </w:rPr>
          <w:fldChar w:fldCharType="end"/>
        </w:r>
      </w:hyperlink>
    </w:p>
    <w:p w14:paraId="60DBD406" w14:textId="74DAAD77"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93" w:history="1">
        <w:r w:rsidRPr="006D516C">
          <w:rPr>
            <w:rStyle w:val="Hyperlink"/>
            <w:noProof/>
          </w:rPr>
          <w:t>Tabela 10: Masat e përshtatjes sipas bashkisë</w:t>
        </w:r>
        <w:r>
          <w:rPr>
            <w:noProof/>
            <w:webHidden/>
          </w:rPr>
          <w:tab/>
        </w:r>
        <w:r>
          <w:rPr>
            <w:noProof/>
            <w:webHidden/>
          </w:rPr>
          <w:fldChar w:fldCharType="begin"/>
        </w:r>
        <w:r>
          <w:rPr>
            <w:noProof/>
            <w:webHidden/>
          </w:rPr>
          <w:instrText xml:space="preserve"> PAGEREF _Toc216778893 \h </w:instrText>
        </w:r>
        <w:r>
          <w:rPr>
            <w:noProof/>
            <w:webHidden/>
          </w:rPr>
        </w:r>
        <w:r>
          <w:rPr>
            <w:noProof/>
            <w:webHidden/>
          </w:rPr>
          <w:fldChar w:fldCharType="separate"/>
        </w:r>
        <w:r>
          <w:rPr>
            <w:noProof/>
            <w:webHidden/>
          </w:rPr>
          <w:t>49</w:t>
        </w:r>
        <w:r>
          <w:rPr>
            <w:noProof/>
            <w:webHidden/>
          </w:rPr>
          <w:fldChar w:fldCharType="end"/>
        </w:r>
      </w:hyperlink>
    </w:p>
    <w:p w14:paraId="6C61DEB1" w14:textId="4C907320"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94" w:history="1">
        <w:r w:rsidRPr="006D516C">
          <w:rPr>
            <w:rStyle w:val="Hyperlink"/>
            <w:noProof/>
          </w:rPr>
          <w:t>Tabela 11: Buxheti i planifikuar për kostot e masave të përshtatjes</w:t>
        </w:r>
        <w:r>
          <w:rPr>
            <w:noProof/>
            <w:webHidden/>
          </w:rPr>
          <w:tab/>
        </w:r>
        <w:r>
          <w:rPr>
            <w:noProof/>
            <w:webHidden/>
          </w:rPr>
          <w:fldChar w:fldCharType="begin"/>
        </w:r>
        <w:r>
          <w:rPr>
            <w:noProof/>
            <w:webHidden/>
          </w:rPr>
          <w:instrText xml:space="preserve"> PAGEREF _Toc216778894 \h </w:instrText>
        </w:r>
        <w:r>
          <w:rPr>
            <w:noProof/>
            <w:webHidden/>
          </w:rPr>
        </w:r>
        <w:r>
          <w:rPr>
            <w:noProof/>
            <w:webHidden/>
          </w:rPr>
          <w:fldChar w:fldCharType="separate"/>
        </w:r>
        <w:r>
          <w:rPr>
            <w:noProof/>
            <w:webHidden/>
          </w:rPr>
          <w:t>54</w:t>
        </w:r>
        <w:r>
          <w:rPr>
            <w:noProof/>
            <w:webHidden/>
          </w:rPr>
          <w:fldChar w:fldCharType="end"/>
        </w:r>
      </w:hyperlink>
    </w:p>
    <w:p w14:paraId="01A91774" w14:textId="1C8DD778"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95" w:history="1">
        <w:r w:rsidRPr="006D516C">
          <w:rPr>
            <w:rStyle w:val="Hyperlink"/>
            <w:noProof/>
          </w:rPr>
          <w:t>Tabela 12: Informacioni për KKP 3.0 sipas Shtojcës I të Vendimit 4/KTM.1 (Seanca e parë e Konferencës së palëve që shërben si takimi i palëve në Marrëveshjen e Parisit)</w:t>
        </w:r>
        <w:r>
          <w:rPr>
            <w:noProof/>
            <w:webHidden/>
          </w:rPr>
          <w:tab/>
        </w:r>
        <w:r>
          <w:rPr>
            <w:noProof/>
            <w:webHidden/>
          </w:rPr>
          <w:fldChar w:fldCharType="begin"/>
        </w:r>
        <w:r>
          <w:rPr>
            <w:noProof/>
            <w:webHidden/>
          </w:rPr>
          <w:instrText xml:space="preserve"> PAGEREF _Toc216778895 \h </w:instrText>
        </w:r>
        <w:r>
          <w:rPr>
            <w:noProof/>
            <w:webHidden/>
          </w:rPr>
        </w:r>
        <w:r>
          <w:rPr>
            <w:noProof/>
            <w:webHidden/>
          </w:rPr>
          <w:fldChar w:fldCharType="separate"/>
        </w:r>
        <w:r>
          <w:rPr>
            <w:noProof/>
            <w:webHidden/>
          </w:rPr>
          <w:t>55</w:t>
        </w:r>
        <w:r>
          <w:rPr>
            <w:noProof/>
            <w:webHidden/>
          </w:rPr>
          <w:fldChar w:fldCharType="end"/>
        </w:r>
      </w:hyperlink>
    </w:p>
    <w:p w14:paraId="34C63D29" w14:textId="4EF56706" w:rsidR="00CA449B" w:rsidRPr="00420F06" w:rsidRDefault="00387652" w:rsidP="005B45E4">
      <w:pPr>
        <w:tabs>
          <w:tab w:val="left" w:pos="1080"/>
          <w:tab w:val="right" w:leader="dot" w:pos="9360"/>
        </w:tabs>
        <w:jc w:val="left"/>
        <w:rPr>
          <w:rFonts w:asciiTheme="majorHAnsi" w:hAnsiTheme="majorHAnsi" w:cstheme="majorHAnsi"/>
          <w:u w:val="single"/>
        </w:rPr>
      </w:pPr>
      <w:r w:rsidRPr="00420F06">
        <w:rPr>
          <w:rFonts w:asciiTheme="majorHAnsi" w:hAnsiTheme="majorHAnsi" w:cstheme="majorHAnsi"/>
          <w:u w:val="single"/>
        </w:rPr>
        <w:fldChar w:fldCharType="end"/>
      </w:r>
    </w:p>
    <w:p w14:paraId="34C63D2A" w14:textId="77777777" w:rsidR="004771D0" w:rsidRPr="00420F06" w:rsidRDefault="004771D0" w:rsidP="004771D0">
      <w:pPr>
        <w:pStyle w:val="StyleHeading1Left0Firstline0"/>
        <w:numPr>
          <w:ilvl w:val="0"/>
          <w:numId w:val="0"/>
        </w:numPr>
        <w:spacing w:before="0"/>
        <w:rPr>
          <w:rFonts w:asciiTheme="majorHAnsi" w:hAnsiTheme="majorHAnsi" w:cstheme="majorHAnsi"/>
        </w:rPr>
      </w:pPr>
      <w:bookmarkStart w:id="5" w:name="_Toc216778852"/>
      <w:r>
        <w:rPr>
          <w:rFonts w:asciiTheme="majorHAnsi" w:hAnsiTheme="majorHAnsi"/>
        </w:rPr>
        <w:t>Lista e figurave</w:t>
      </w:r>
      <w:bookmarkEnd w:id="5"/>
    </w:p>
    <w:p w14:paraId="34C63D2B" w14:textId="77777777" w:rsidR="004771D0" w:rsidRPr="00420F06" w:rsidRDefault="004771D0" w:rsidP="004771D0">
      <w:pPr>
        <w:jc w:val="right"/>
        <w:rPr>
          <w:rFonts w:asciiTheme="majorHAnsi" w:hAnsiTheme="majorHAnsi" w:cstheme="majorHAnsi"/>
          <w:u w:val="single"/>
        </w:rPr>
      </w:pPr>
      <w:r>
        <w:rPr>
          <w:rFonts w:asciiTheme="majorHAnsi" w:hAnsiTheme="majorHAnsi"/>
          <w:u w:val="single"/>
        </w:rPr>
        <w:t>Faqja</w:t>
      </w:r>
    </w:p>
    <w:p w14:paraId="4F4A4D39" w14:textId="79C145BA" w:rsidR="00E40703" w:rsidRDefault="00387652">
      <w:pPr>
        <w:pStyle w:val="TableofFigures"/>
        <w:tabs>
          <w:tab w:val="right" w:leader="dot" w:pos="9350"/>
        </w:tabs>
        <w:rPr>
          <w:rFonts w:asciiTheme="minorHAnsi" w:eastAsiaTheme="minorEastAsia" w:hAnsiTheme="minorHAnsi" w:cstheme="minorBidi"/>
          <w:noProof/>
          <w:kern w:val="2"/>
          <w:lang w:val="en-US"/>
          <w14:ligatures w14:val="standardContextual"/>
        </w:rPr>
      </w:pPr>
      <w:r w:rsidRPr="00420F06">
        <w:rPr>
          <w:rFonts w:asciiTheme="majorHAnsi" w:hAnsiTheme="majorHAnsi" w:cstheme="majorHAnsi"/>
          <w:u w:val="single"/>
        </w:rPr>
        <w:fldChar w:fldCharType="begin"/>
      </w:r>
      <w:r w:rsidR="004771D0" w:rsidRPr="00420F06">
        <w:rPr>
          <w:rFonts w:asciiTheme="majorHAnsi" w:hAnsiTheme="majorHAnsi" w:cstheme="majorHAnsi"/>
          <w:u w:val="single"/>
        </w:rPr>
        <w:instrText xml:space="preserve"> TOC \h \z \c "Figure" </w:instrText>
      </w:r>
      <w:r w:rsidRPr="00420F06">
        <w:rPr>
          <w:rFonts w:asciiTheme="majorHAnsi" w:hAnsiTheme="majorHAnsi" w:cstheme="majorHAnsi"/>
          <w:u w:val="single"/>
        </w:rPr>
        <w:fldChar w:fldCharType="separate"/>
      </w:r>
      <w:hyperlink w:anchor="_Toc216778896" w:history="1">
        <w:r w:rsidR="00E40703" w:rsidRPr="002D5FE5">
          <w:rPr>
            <w:rStyle w:val="Hyperlink"/>
            <w:noProof/>
          </w:rPr>
          <w:t xml:space="preserve">Figura </w:t>
        </w:r>
        <w:r w:rsidR="00E40703" w:rsidRPr="002D5FE5">
          <w:rPr>
            <w:rStyle w:val="Hyperlink"/>
            <w:rFonts w:cstheme="majorHAnsi"/>
            <w:noProof/>
          </w:rPr>
          <w:t>1</w:t>
        </w:r>
        <w:r w:rsidR="00E40703" w:rsidRPr="002D5FE5">
          <w:rPr>
            <w:rStyle w:val="Hyperlink"/>
            <w:noProof/>
          </w:rPr>
          <w:t>: Krahasim i KKP 3.0 me KKP-në e mëparshme (2021)</w:t>
        </w:r>
        <w:r w:rsidR="00E40703">
          <w:rPr>
            <w:noProof/>
            <w:webHidden/>
          </w:rPr>
          <w:tab/>
        </w:r>
        <w:r w:rsidR="00E40703">
          <w:rPr>
            <w:noProof/>
            <w:webHidden/>
          </w:rPr>
          <w:fldChar w:fldCharType="begin"/>
        </w:r>
        <w:r w:rsidR="00E40703">
          <w:rPr>
            <w:noProof/>
            <w:webHidden/>
          </w:rPr>
          <w:instrText xml:space="preserve"> PAGEREF _Toc216778896 \h </w:instrText>
        </w:r>
        <w:r w:rsidR="00E40703">
          <w:rPr>
            <w:noProof/>
            <w:webHidden/>
          </w:rPr>
        </w:r>
        <w:r w:rsidR="00E40703">
          <w:rPr>
            <w:noProof/>
            <w:webHidden/>
          </w:rPr>
          <w:fldChar w:fldCharType="separate"/>
        </w:r>
        <w:r w:rsidR="00E40703">
          <w:rPr>
            <w:noProof/>
            <w:webHidden/>
          </w:rPr>
          <w:t>17</w:t>
        </w:r>
        <w:r w:rsidR="00E40703">
          <w:rPr>
            <w:noProof/>
            <w:webHidden/>
          </w:rPr>
          <w:fldChar w:fldCharType="end"/>
        </w:r>
      </w:hyperlink>
    </w:p>
    <w:p w14:paraId="70815EF8" w14:textId="4C88DC5D"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97" w:history="1">
        <w:r w:rsidRPr="002D5FE5">
          <w:rPr>
            <w:rStyle w:val="Hyperlink"/>
            <w:noProof/>
          </w:rPr>
          <w:t xml:space="preserve">Figura </w:t>
        </w:r>
        <w:r w:rsidRPr="002D5FE5">
          <w:rPr>
            <w:rStyle w:val="Hyperlink"/>
            <w:rFonts w:cstheme="majorHAnsi"/>
            <w:noProof/>
          </w:rPr>
          <w:t>2</w:t>
        </w:r>
        <w:r w:rsidRPr="002D5FE5">
          <w:rPr>
            <w:rStyle w:val="Hyperlink"/>
            <w:noProof/>
          </w:rPr>
          <w:t>: Projeksioni i shkarkimeve të GES-ve (burimi: PKEK 2025)</w:t>
        </w:r>
        <w:r>
          <w:rPr>
            <w:noProof/>
            <w:webHidden/>
          </w:rPr>
          <w:tab/>
        </w:r>
        <w:r>
          <w:rPr>
            <w:noProof/>
            <w:webHidden/>
          </w:rPr>
          <w:fldChar w:fldCharType="begin"/>
        </w:r>
        <w:r>
          <w:rPr>
            <w:noProof/>
            <w:webHidden/>
          </w:rPr>
          <w:instrText xml:space="preserve"> PAGEREF _Toc216778897 \h </w:instrText>
        </w:r>
        <w:r>
          <w:rPr>
            <w:noProof/>
            <w:webHidden/>
          </w:rPr>
        </w:r>
        <w:r>
          <w:rPr>
            <w:noProof/>
            <w:webHidden/>
          </w:rPr>
          <w:fldChar w:fldCharType="separate"/>
        </w:r>
        <w:r>
          <w:rPr>
            <w:noProof/>
            <w:webHidden/>
          </w:rPr>
          <w:t>18</w:t>
        </w:r>
        <w:r>
          <w:rPr>
            <w:noProof/>
            <w:webHidden/>
          </w:rPr>
          <w:fldChar w:fldCharType="end"/>
        </w:r>
      </w:hyperlink>
    </w:p>
    <w:p w14:paraId="2E253313" w14:textId="36680C56"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98" w:history="1">
        <w:r w:rsidRPr="002D5FE5">
          <w:rPr>
            <w:rStyle w:val="Hyperlink"/>
            <w:noProof/>
          </w:rPr>
          <w:t xml:space="preserve">Figura </w:t>
        </w:r>
        <w:r w:rsidRPr="002D5FE5">
          <w:rPr>
            <w:rStyle w:val="Hyperlink"/>
            <w:rFonts w:cstheme="majorHAnsi"/>
            <w:noProof/>
          </w:rPr>
          <w:t>3</w:t>
        </w:r>
        <w:r w:rsidRPr="002D5FE5">
          <w:rPr>
            <w:rStyle w:val="Hyperlink"/>
            <w:noProof/>
          </w:rPr>
          <w:t>: Projeksioni i shkarkimeve të GES-ve sipas skenarit WEM (burimi: PKEK 2025)</w:t>
        </w:r>
        <w:r>
          <w:rPr>
            <w:noProof/>
            <w:webHidden/>
          </w:rPr>
          <w:tab/>
        </w:r>
        <w:r>
          <w:rPr>
            <w:noProof/>
            <w:webHidden/>
          </w:rPr>
          <w:fldChar w:fldCharType="begin"/>
        </w:r>
        <w:r>
          <w:rPr>
            <w:noProof/>
            <w:webHidden/>
          </w:rPr>
          <w:instrText xml:space="preserve"> PAGEREF _Toc216778898 \h </w:instrText>
        </w:r>
        <w:r>
          <w:rPr>
            <w:noProof/>
            <w:webHidden/>
          </w:rPr>
        </w:r>
        <w:r>
          <w:rPr>
            <w:noProof/>
            <w:webHidden/>
          </w:rPr>
          <w:fldChar w:fldCharType="separate"/>
        </w:r>
        <w:r>
          <w:rPr>
            <w:noProof/>
            <w:webHidden/>
          </w:rPr>
          <w:t>19</w:t>
        </w:r>
        <w:r>
          <w:rPr>
            <w:noProof/>
            <w:webHidden/>
          </w:rPr>
          <w:fldChar w:fldCharType="end"/>
        </w:r>
      </w:hyperlink>
    </w:p>
    <w:p w14:paraId="642537CB" w14:textId="422A6A9F"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899" w:history="1">
        <w:r w:rsidRPr="002D5FE5">
          <w:rPr>
            <w:rStyle w:val="Hyperlink"/>
            <w:noProof/>
          </w:rPr>
          <w:t xml:space="preserve">Figura </w:t>
        </w:r>
        <w:r w:rsidRPr="002D5FE5">
          <w:rPr>
            <w:rStyle w:val="Hyperlink"/>
            <w:rFonts w:cstheme="majorHAnsi"/>
            <w:noProof/>
          </w:rPr>
          <w:t>4</w:t>
        </w:r>
        <w:r w:rsidRPr="002D5FE5">
          <w:rPr>
            <w:rStyle w:val="Hyperlink"/>
            <w:noProof/>
          </w:rPr>
          <w:t>: Projeksioni i shkarkimeve të GES-ve sipas skenarit WAM (burimi: PKEK 2025)</w:t>
        </w:r>
        <w:r>
          <w:rPr>
            <w:noProof/>
            <w:webHidden/>
          </w:rPr>
          <w:tab/>
        </w:r>
        <w:r>
          <w:rPr>
            <w:noProof/>
            <w:webHidden/>
          </w:rPr>
          <w:fldChar w:fldCharType="begin"/>
        </w:r>
        <w:r>
          <w:rPr>
            <w:noProof/>
            <w:webHidden/>
          </w:rPr>
          <w:instrText xml:space="preserve"> PAGEREF _Toc216778899 \h </w:instrText>
        </w:r>
        <w:r>
          <w:rPr>
            <w:noProof/>
            <w:webHidden/>
          </w:rPr>
        </w:r>
        <w:r>
          <w:rPr>
            <w:noProof/>
            <w:webHidden/>
          </w:rPr>
          <w:fldChar w:fldCharType="separate"/>
        </w:r>
        <w:r>
          <w:rPr>
            <w:noProof/>
            <w:webHidden/>
          </w:rPr>
          <w:t>20</w:t>
        </w:r>
        <w:r>
          <w:rPr>
            <w:noProof/>
            <w:webHidden/>
          </w:rPr>
          <w:fldChar w:fldCharType="end"/>
        </w:r>
      </w:hyperlink>
    </w:p>
    <w:p w14:paraId="02DA4310" w14:textId="405B33A6"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900" w:history="1">
        <w:r w:rsidRPr="002D5FE5">
          <w:rPr>
            <w:rStyle w:val="Hyperlink"/>
            <w:noProof/>
          </w:rPr>
          <w:t xml:space="preserve">Figura </w:t>
        </w:r>
        <w:r w:rsidRPr="002D5FE5">
          <w:rPr>
            <w:rStyle w:val="Hyperlink"/>
            <w:rFonts w:cstheme="majorHAnsi"/>
            <w:noProof/>
          </w:rPr>
          <w:t>5</w:t>
        </w:r>
        <w:r w:rsidRPr="002D5FE5">
          <w:rPr>
            <w:rStyle w:val="Hyperlink"/>
            <w:noProof/>
          </w:rPr>
          <w:t>: Alokimi sektorial i reduktimeve të projektuara të shkarkimeve nga politikat dhe masat shtesë të planifikuara</w:t>
        </w:r>
        <w:r>
          <w:rPr>
            <w:noProof/>
            <w:webHidden/>
          </w:rPr>
          <w:tab/>
        </w:r>
        <w:r>
          <w:rPr>
            <w:noProof/>
            <w:webHidden/>
          </w:rPr>
          <w:fldChar w:fldCharType="begin"/>
        </w:r>
        <w:r>
          <w:rPr>
            <w:noProof/>
            <w:webHidden/>
          </w:rPr>
          <w:instrText xml:space="preserve"> PAGEREF _Toc216778900 \h </w:instrText>
        </w:r>
        <w:r>
          <w:rPr>
            <w:noProof/>
            <w:webHidden/>
          </w:rPr>
        </w:r>
        <w:r>
          <w:rPr>
            <w:noProof/>
            <w:webHidden/>
          </w:rPr>
          <w:fldChar w:fldCharType="separate"/>
        </w:r>
        <w:r>
          <w:rPr>
            <w:noProof/>
            <w:webHidden/>
          </w:rPr>
          <w:t>25</w:t>
        </w:r>
        <w:r>
          <w:rPr>
            <w:noProof/>
            <w:webHidden/>
          </w:rPr>
          <w:fldChar w:fldCharType="end"/>
        </w:r>
      </w:hyperlink>
    </w:p>
    <w:p w14:paraId="0A4B67E6" w14:textId="776EDF19"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901" w:history="1">
        <w:r w:rsidRPr="002D5FE5">
          <w:rPr>
            <w:rStyle w:val="Hyperlink"/>
            <w:noProof/>
          </w:rPr>
          <w:t>Figura 6: Temperatura mesatare në sipërfaqe (°C), në Shqipëri (1950-2020) Burimi: Grupi i njohurive mbi ndryshimet klimatike, 2021.</w:t>
        </w:r>
        <w:r>
          <w:rPr>
            <w:noProof/>
            <w:webHidden/>
          </w:rPr>
          <w:tab/>
        </w:r>
        <w:r>
          <w:rPr>
            <w:noProof/>
            <w:webHidden/>
          </w:rPr>
          <w:fldChar w:fldCharType="begin"/>
        </w:r>
        <w:r>
          <w:rPr>
            <w:noProof/>
            <w:webHidden/>
          </w:rPr>
          <w:instrText xml:space="preserve"> PAGEREF _Toc216778901 \h </w:instrText>
        </w:r>
        <w:r>
          <w:rPr>
            <w:noProof/>
            <w:webHidden/>
          </w:rPr>
        </w:r>
        <w:r>
          <w:rPr>
            <w:noProof/>
            <w:webHidden/>
          </w:rPr>
          <w:fldChar w:fldCharType="separate"/>
        </w:r>
        <w:r>
          <w:rPr>
            <w:noProof/>
            <w:webHidden/>
          </w:rPr>
          <w:t>38</w:t>
        </w:r>
        <w:r>
          <w:rPr>
            <w:noProof/>
            <w:webHidden/>
          </w:rPr>
          <w:fldChar w:fldCharType="end"/>
        </w:r>
      </w:hyperlink>
    </w:p>
    <w:p w14:paraId="09DDA70C" w14:textId="6C8DCF67"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902" w:history="1">
        <w:r w:rsidRPr="002D5FE5">
          <w:rPr>
            <w:rStyle w:val="Hyperlink"/>
            <w:noProof/>
          </w:rPr>
          <w:t>Figura 7: Reshjet mesatare (mm) në Shqipëri (1950-2020)</w:t>
        </w:r>
        <w:r>
          <w:rPr>
            <w:noProof/>
            <w:webHidden/>
          </w:rPr>
          <w:tab/>
        </w:r>
        <w:r>
          <w:rPr>
            <w:noProof/>
            <w:webHidden/>
          </w:rPr>
          <w:fldChar w:fldCharType="begin"/>
        </w:r>
        <w:r>
          <w:rPr>
            <w:noProof/>
            <w:webHidden/>
          </w:rPr>
          <w:instrText xml:space="preserve"> PAGEREF _Toc216778902 \h </w:instrText>
        </w:r>
        <w:r>
          <w:rPr>
            <w:noProof/>
            <w:webHidden/>
          </w:rPr>
        </w:r>
        <w:r>
          <w:rPr>
            <w:noProof/>
            <w:webHidden/>
          </w:rPr>
          <w:fldChar w:fldCharType="separate"/>
        </w:r>
        <w:r>
          <w:rPr>
            <w:noProof/>
            <w:webHidden/>
          </w:rPr>
          <w:t>39</w:t>
        </w:r>
        <w:r>
          <w:rPr>
            <w:noProof/>
            <w:webHidden/>
          </w:rPr>
          <w:fldChar w:fldCharType="end"/>
        </w:r>
      </w:hyperlink>
    </w:p>
    <w:p w14:paraId="175E1C38" w14:textId="0B84FADB" w:rsidR="00E40703" w:rsidRDefault="00E40703">
      <w:pPr>
        <w:pStyle w:val="TableofFigures"/>
        <w:tabs>
          <w:tab w:val="right" w:leader="dot" w:pos="9350"/>
        </w:tabs>
        <w:rPr>
          <w:rFonts w:asciiTheme="minorHAnsi" w:eastAsiaTheme="minorEastAsia" w:hAnsiTheme="minorHAnsi" w:cstheme="minorBidi"/>
          <w:noProof/>
          <w:kern w:val="2"/>
          <w:lang w:val="en-US"/>
          <w14:ligatures w14:val="standardContextual"/>
        </w:rPr>
      </w:pPr>
      <w:hyperlink w:anchor="_Toc216778903" w:history="1">
        <w:r w:rsidRPr="002D5FE5">
          <w:rPr>
            <w:rStyle w:val="Hyperlink"/>
            <w:noProof/>
          </w:rPr>
          <w:t>Figura 8: Anomalia e nivelit të detit (mm) në Shqipëri (1993-2015)</w:t>
        </w:r>
        <w:r>
          <w:rPr>
            <w:noProof/>
            <w:webHidden/>
          </w:rPr>
          <w:tab/>
        </w:r>
        <w:r>
          <w:rPr>
            <w:noProof/>
            <w:webHidden/>
          </w:rPr>
          <w:fldChar w:fldCharType="begin"/>
        </w:r>
        <w:r>
          <w:rPr>
            <w:noProof/>
            <w:webHidden/>
          </w:rPr>
          <w:instrText xml:space="preserve"> PAGEREF _Toc216778903 \h </w:instrText>
        </w:r>
        <w:r>
          <w:rPr>
            <w:noProof/>
            <w:webHidden/>
          </w:rPr>
        </w:r>
        <w:r>
          <w:rPr>
            <w:noProof/>
            <w:webHidden/>
          </w:rPr>
          <w:fldChar w:fldCharType="separate"/>
        </w:r>
        <w:r>
          <w:rPr>
            <w:noProof/>
            <w:webHidden/>
          </w:rPr>
          <w:t>40</w:t>
        </w:r>
        <w:r>
          <w:rPr>
            <w:noProof/>
            <w:webHidden/>
          </w:rPr>
          <w:fldChar w:fldCharType="end"/>
        </w:r>
      </w:hyperlink>
    </w:p>
    <w:p w14:paraId="34C63D39" w14:textId="106D42A7" w:rsidR="00CA449B" w:rsidRPr="00420F06" w:rsidRDefault="00387652" w:rsidP="004771D0">
      <w:pPr>
        <w:jc w:val="right"/>
        <w:rPr>
          <w:rFonts w:asciiTheme="majorHAnsi" w:hAnsiTheme="majorHAnsi" w:cstheme="majorHAnsi"/>
          <w:u w:val="single"/>
        </w:rPr>
      </w:pPr>
      <w:r w:rsidRPr="00420F06">
        <w:rPr>
          <w:rFonts w:asciiTheme="majorHAnsi" w:hAnsiTheme="majorHAnsi" w:cstheme="majorHAnsi"/>
          <w:u w:val="single"/>
        </w:rPr>
        <w:fldChar w:fldCharType="end"/>
      </w:r>
    </w:p>
    <w:p w14:paraId="34C63D3A" w14:textId="77777777" w:rsidR="00D22880" w:rsidRPr="00420F06" w:rsidRDefault="00D22880" w:rsidP="00AB5AEE">
      <w:pPr>
        <w:rPr>
          <w:rFonts w:asciiTheme="majorHAnsi" w:hAnsiTheme="majorHAnsi" w:cstheme="majorHAnsi"/>
        </w:rPr>
        <w:sectPr w:rsidR="00D22880" w:rsidRPr="00420F06" w:rsidSect="005B45E4">
          <w:pgSz w:w="12240" w:h="15840" w:code="9"/>
          <w:pgMar w:top="1440" w:right="1440" w:bottom="1440" w:left="1440" w:header="720" w:footer="720" w:gutter="0"/>
          <w:pgNumType w:fmt="lowerRoman"/>
          <w:cols w:space="720"/>
          <w:docGrid w:linePitch="360"/>
        </w:sectPr>
      </w:pPr>
    </w:p>
    <w:p w14:paraId="34C63D3B" w14:textId="77777777" w:rsidR="0068732F" w:rsidRPr="00213150" w:rsidRDefault="00213150" w:rsidP="00213150">
      <w:pPr>
        <w:pStyle w:val="Heading1"/>
        <w:rPr>
          <w:rFonts w:asciiTheme="majorHAnsi" w:hAnsiTheme="majorHAnsi" w:cstheme="majorHAnsi"/>
        </w:rPr>
      </w:pPr>
      <w:bookmarkStart w:id="6" w:name="_Toc216778853"/>
      <w:r>
        <w:rPr>
          <w:rFonts w:asciiTheme="majorHAnsi" w:hAnsiTheme="majorHAnsi"/>
        </w:rPr>
        <w:lastRenderedPageBreak/>
        <w:t>Përmbledhje</w:t>
      </w:r>
      <w:bookmarkEnd w:id="6"/>
    </w:p>
    <w:p w14:paraId="0423B1A7" w14:textId="2C0A5BEB" w:rsidR="006678E1" w:rsidRPr="006678E1" w:rsidRDefault="006678E1" w:rsidP="006678E1">
      <w:pPr>
        <w:pStyle w:val="BodyText"/>
        <w:jc w:val="both"/>
        <w:rPr>
          <w:rFonts w:asciiTheme="majorHAnsi" w:hAnsiTheme="majorHAnsi" w:cstheme="majorHAnsi"/>
        </w:rPr>
      </w:pPr>
      <w:r w:rsidRPr="006678E1">
        <w:rPr>
          <w:rFonts w:asciiTheme="majorHAnsi" w:hAnsiTheme="majorHAnsi"/>
        </w:rPr>
        <w:t>Kontributi Kombëtar i Përcaktuar</w:t>
      </w:r>
      <w:r w:rsidRPr="006678E1">
        <w:rPr>
          <w:rFonts w:asciiTheme="majorHAnsi" w:hAnsiTheme="majorHAnsi" w:cstheme="majorHAnsi"/>
        </w:rPr>
        <w:t xml:space="preserve"> (KKP) </w:t>
      </w:r>
      <w:r w:rsidR="007B1DA9">
        <w:rPr>
          <w:rFonts w:asciiTheme="majorHAnsi" w:hAnsiTheme="majorHAnsi" w:cstheme="majorHAnsi"/>
        </w:rPr>
        <w:t xml:space="preserve">i </w:t>
      </w:r>
      <w:r w:rsidRPr="006678E1">
        <w:rPr>
          <w:rFonts w:asciiTheme="majorHAnsi" w:hAnsiTheme="majorHAnsi" w:cstheme="majorHAnsi"/>
        </w:rPr>
        <w:t xml:space="preserve">rishikuar </w:t>
      </w:r>
      <w:r w:rsidR="007B1DA9">
        <w:rPr>
          <w:rFonts w:asciiTheme="majorHAnsi" w:hAnsiTheme="majorHAnsi" w:cstheme="majorHAnsi"/>
        </w:rPr>
        <w:t>i</w:t>
      </w:r>
      <w:r w:rsidRPr="006678E1">
        <w:rPr>
          <w:rFonts w:asciiTheme="majorHAnsi" w:hAnsiTheme="majorHAnsi" w:cstheme="majorHAnsi"/>
        </w:rPr>
        <w:t xml:space="preserve"> Shqipërisë paraqet një ambicie që kontribuon në arritjen e objektivave të </w:t>
      </w:r>
      <w:r w:rsidRPr="006678E1">
        <w:rPr>
          <w:rFonts w:asciiTheme="majorHAnsi" w:hAnsiTheme="majorHAnsi"/>
        </w:rPr>
        <w:t xml:space="preserve">Konventës Kuadër të Kombeve të Bashkuara për Ndryshimet Klimatike (KKKBNK) </w:t>
      </w:r>
      <w:r w:rsidRPr="006678E1">
        <w:rPr>
          <w:rFonts w:asciiTheme="majorHAnsi" w:hAnsiTheme="majorHAnsi" w:cstheme="majorHAnsi"/>
        </w:rPr>
        <w:t>dhe t</w:t>
      </w:r>
      <w:r w:rsidRPr="006678E1">
        <w:rPr>
          <w:rFonts w:asciiTheme="majorHAnsi" w:hAnsiTheme="majorHAnsi"/>
        </w:rPr>
        <w:t>ë</w:t>
      </w:r>
      <w:r w:rsidRPr="006678E1">
        <w:rPr>
          <w:rFonts w:asciiTheme="majorHAnsi" w:hAnsiTheme="majorHAnsi" w:cstheme="majorHAnsi"/>
        </w:rPr>
        <w:t xml:space="preserve"> Marrëveshjes së Parisit, si dhe në arritjen e strategjive dhe planeve rajonale dhe kombëtare. Në nivel kombëtar, KKP-ja është në përputhje me strategjitë, planet dhe qëllimet afatgjata kombëtare dhe sektoriale të zhvillimit të Shqipërisë. Në nivel rajonal, meqenëse Shqipëria është në procesin e negociatave për t'u bërë Shtet Anëtar i Bashkimit Evropian (BE), KKP-ja është gjithashtu në përputhje me Marr</w:t>
      </w:r>
      <w:r w:rsidR="004F2407">
        <w:rPr>
          <w:rFonts w:asciiTheme="majorHAnsi" w:hAnsiTheme="majorHAnsi" w:cstheme="majorHAnsi"/>
        </w:rPr>
        <w:t>ë</w:t>
      </w:r>
      <w:r w:rsidRPr="006678E1">
        <w:rPr>
          <w:rFonts w:asciiTheme="majorHAnsi" w:hAnsiTheme="majorHAnsi" w:cstheme="majorHAnsi"/>
        </w:rPr>
        <w:t>veshjen e Gjelbër të BE-së dhe objektivin për nj</w:t>
      </w:r>
      <w:r w:rsidR="004F2407">
        <w:rPr>
          <w:rFonts w:asciiTheme="majorHAnsi" w:hAnsiTheme="majorHAnsi" w:cstheme="majorHAnsi"/>
        </w:rPr>
        <w:t>ë</w:t>
      </w:r>
      <w:r w:rsidRPr="006678E1">
        <w:rPr>
          <w:rFonts w:asciiTheme="majorHAnsi" w:hAnsiTheme="majorHAnsi" w:cstheme="majorHAnsi"/>
        </w:rPr>
        <w:t xml:space="preserve"> ekonomi neutrale t</w:t>
      </w:r>
      <w:r w:rsidR="004F2407">
        <w:rPr>
          <w:rFonts w:asciiTheme="majorHAnsi" w:hAnsiTheme="majorHAnsi" w:cstheme="majorHAnsi"/>
        </w:rPr>
        <w:t>ë</w:t>
      </w:r>
      <w:r w:rsidRPr="006678E1">
        <w:rPr>
          <w:rFonts w:asciiTheme="majorHAnsi" w:hAnsiTheme="majorHAnsi" w:cstheme="majorHAnsi"/>
        </w:rPr>
        <w:t xml:space="preserve"> BE-s</w:t>
      </w:r>
      <w:r w:rsidR="004F2407">
        <w:rPr>
          <w:rFonts w:asciiTheme="majorHAnsi" w:hAnsiTheme="majorHAnsi" w:cstheme="majorHAnsi"/>
        </w:rPr>
        <w:t>ë</w:t>
      </w:r>
      <w:r w:rsidRPr="006678E1">
        <w:rPr>
          <w:rFonts w:asciiTheme="majorHAnsi" w:hAnsiTheme="majorHAnsi" w:cstheme="majorHAnsi"/>
        </w:rPr>
        <w:t xml:space="preserve"> ndaj klimës deri në vitin 2050.</w:t>
      </w:r>
    </w:p>
    <w:p w14:paraId="68630B90" w14:textId="77777777" w:rsidR="006678E1" w:rsidRPr="006678E1" w:rsidRDefault="006678E1" w:rsidP="006678E1">
      <w:pPr>
        <w:pStyle w:val="BodyText"/>
        <w:jc w:val="both"/>
        <w:rPr>
          <w:rFonts w:asciiTheme="majorHAnsi" w:hAnsiTheme="majorHAnsi" w:cstheme="majorHAnsi"/>
        </w:rPr>
      </w:pPr>
      <w:r w:rsidRPr="006678E1">
        <w:rPr>
          <w:rFonts w:asciiTheme="majorHAnsi" w:hAnsiTheme="majorHAnsi" w:cstheme="majorHAnsi"/>
        </w:rPr>
        <w:t>KKP-ja u përgatit duke marrë në konsideratë kërkesat që vijnë nga KKKBNK-ja, kuadrin ligjor kombëtar dhe përfshirjen aktive të institucioneve qendrore me Ministrinë e Mjedisit dhe Ministrinë e Infrastrukturës dhe Energjisë si institucionet kryesore, si dhe konsultime me palë të ndryshme të interesuara nga shoqëria civile dhe akademia.</w:t>
      </w:r>
    </w:p>
    <w:p w14:paraId="3ABF807C" w14:textId="194309B2" w:rsidR="006678E1" w:rsidRPr="006678E1" w:rsidRDefault="006678E1" w:rsidP="006678E1">
      <w:pPr>
        <w:pStyle w:val="BodyText"/>
        <w:jc w:val="both"/>
        <w:rPr>
          <w:rFonts w:asciiTheme="majorHAnsi" w:hAnsiTheme="majorHAnsi" w:cstheme="majorHAnsi"/>
        </w:rPr>
      </w:pPr>
      <w:r w:rsidRPr="006678E1">
        <w:rPr>
          <w:rFonts w:asciiTheme="majorHAnsi" w:hAnsiTheme="majorHAnsi" w:cstheme="majorHAnsi"/>
        </w:rPr>
        <w:t>Dokumenti i ri i KKP-s</w:t>
      </w:r>
      <w:r w:rsidRPr="006678E1">
        <w:rPr>
          <w:rFonts w:asciiTheme="majorHAnsi" w:hAnsiTheme="majorHAnsi"/>
        </w:rPr>
        <w:t>ë</w:t>
      </w:r>
      <w:r w:rsidRPr="006678E1">
        <w:rPr>
          <w:rFonts w:asciiTheme="majorHAnsi" w:hAnsiTheme="majorHAnsi" w:cstheme="majorHAnsi"/>
        </w:rPr>
        <w:t xml:space="preserve"> u p</w:t>
      </w:r>
      <w:r w:rsidRPr="006678E1">
        <w:rPr>
          <w:rFonts w:asciiTheme="majorHAnsi" w:hAnsiTheme="majorHAnsi"/>
        </w:rPr>
        <w:t>ë</w:t>
      </w:r>
      <w:r w:rsidRPr="006678E1">
        <w:rPr>
          <w:rFonts w:asciiTheme="majorHAnsi" w:hAnsiTheme="majorHAnsi" w:cstheme="majorHAnsi"/>
        </w:rPr>
        <w:t>rgatit duke marrë parasysh rrugën e Shqipërisë drejt anëtarësimit në BE dhe bazohet në dy dokumente të rëndësishme, p</w:t>
      </w:r>
      <w:r w:rsidRPr="006678E1">
        <w:rPr>
          <w:rFonts w:asciiTheme="majorHAnsi" w:hAnsiTheme="majorHAnsi"/>
        </w:rPr>
        <w:t>ë</w:t>
      </w:r>
      <w:r w:rsidRPr="006678E1">
        <w:rPr>
          <w:rFonts w:asciiTheme="majorHAnsi" w:hAnsiTheme="majorHAnsi" w:cstheme="majorHAnsi"/>
        </w:rPr>
        <w:t>rkat</w:t>
      </w:r>
      <w:r w:rsidRPr="006678E1">
        <w:rPr>
          <w:rFonts w:asciiTheme="majorHAnsi" w:hAnsiTheme="majorHAnsi"/>
        </w:rPr>
        <w:t>ë</w:t>
      </w:r>
      <w:r w:rsidRPr="006678E1">
        <w:rPr>
          <w:rFonts w:asciiTheme="majorHAnsi" w:hAnsiTheme="majorHAnsi" w:cstheme="majorHAnsi"/>
        </w:rPr>
        <w:t>sisht Planin Kombëtar të Energjisë dhe Klimës (PKEK) të rishikuar dhe Strategjinë e re Kombëtare të Përshtatjes ndaj ndryshimeve klimatike. KKP-ja përfshin gjithashtu tabelën që përmban Informacionin për të lehtësuar qartësinë, transparencën dhe kuptimin.</w:t>
      </w:r>
    </w:p>
    <w:p w14:paraId="1FC6C34A" w14:textId="5CADDDD5" w:rsidR="006678E1" w:rsidRPr="006678E1" w:rsidRDefault="006678E1" w:rsidP="006678E1">
      <w:pPr>
        <w:pStyle w:val="BodyText"/>
        <w:jc w:val="both"/>
        <w:rPr>
          <w:rFonts w:asciiTheme="majorHAnsi" w:hAnsiTheme="majorHAnsi" w:cstheme="majorHAnsi"/>
        </w:rPr>
      </w:pPr>
      <w:r w:rsidRPr="006678E1">
        <w:rPr>
          <w:rFonts w:asciiTheme="majorHAnsi" w:hAnsiTheme="majorHAnsi"/>
        </w:rPr>
        <w:t>KKP-ja 3.0 e Shqipërisë përcakton objektivin për t'i mbajtur shkarkimet e gazeve me efekt serrë (GES) nën 9</w:t>
      </w:r>
      <w:r w:rsidR="004F2407">
        <w:rPr>
          <w:rFonts w:asciiTheme="majorHAnsi" w:hAnsiTheme="majorHAnsi"/>
        </w:rPr>
        <w:t>,</w:t>
      </w:r>
      <w:r w:rsidRPr="006678E1">
        <w:rPr>
          <w:rFonts w:asciiTheme="majorHAnsi" w:hAnsiTheme="majorHAnsi"/>
        </w:rPr>
        <w:t>195 kiloton CO₂ ekuivalent (ktCO₂eq) brenda vitit 2035. Objektivi përfaqëson një kufizim të rritjes së shkarkimeve deri në 17,4% mbi nivelet e vitit 1990, kur totali i shkarkimeve ishte 7</w:t>
      </w:r>
      <w:r w:rsidR="004F2407">
        <w:rPr>
          <w:rFonts w:asciiTheme="majorHAnsi" w:hAnsiTheme="majorHAnsi"/>
        </w:rPr>
        <w:t>,</w:t>
      </w:r>
      <w:r w:rsidRPr="006678E1">
        <w:rPr>
          <w:rFonts w:asciiTheme="majorHAnsi" w:hAnsiTheme="majorHAnsi"/>
        </w:rPr>
        <w:t>834</w:t>
      </w:r>
      <w:r w:rsidR="004F2407">
        <w:rPr>
          <w:rFonts w:asciiTheme="majorHAnsi" w:hAnsiTheme="majorHAnsi"/>
        </w:rPr>
        <w:t>.</w:t>
      </w:r>
      <w:r w:rsidRPr="006678E1">
        <w:rPr>
          <w:rFonts w:asciiTheme="majorHAnsi" w:hAnsiTheme="majorHAnsi"/>
        </w:rPr>
        <w:t>07 ktCO₂eq. Në vend që të lejojë rritje të pakontrolluar të shkarkimeve, Shqipëria synon të kufizojë rritjen e shkarkimeve, duke arritur njëkohësisht zhvillim të qëndrueshëm, si dhe merr parasysh shkarkimet e dyoksidit të karbonit (CO₂), metanit (CH₄), oksidit të azotit (N₂O) dhe hidrofluorokarbonëve (HFC).</w:t>
      </w:r>
    </w:p>
    <w:p w14:paraId="273EA9AD" w14:textId="77777777" w:rsidR="006678E1" w:rsidRPr="006678E1" w:rsidRDefault="006678E1" w:rsidP="006678E1">
      <w:pPr>
        <w:pStyle w:val="BodyText"/>
        <w:jc w:val="both"/>
        <w:rPr>
          <w:rFonts w:asciiTheme="majorHAnsi" w:hAnsiTheme="majorHAnsi" w:cstheme="majorHAnsi"/>
        </w:rPr>
      </w:pPr>
      <w:r w:rsidRPr="006678E1">
        <w:rPr>
          <w:rFonts w:asciiTheme="majorHAnsi" w:hAnsiTheme="majorHAnsi" w:cstheme="majorHAnsi"/>
        </w:rPr>
        <w:t xml:space="preserve">KKP-ja e Shqipërisë është një objektiv për të gjithë ekonominë, që mbulon të gjithë sektorët vendas që raportohen aktualisht në Raportin e Inventarit Kombëtar (NIR). </w:t>
      </w:r>
      <w:r w:rsidRPr="006678E1">
        <w:rPr>
          <w:rFonts w:asciiTheme="majorHAnsi" w:hAnsiTheme="majorHAnsi"/>
        </w:rPr>
        <w:t>Dokumenti përfshin gjithashtu pjesën e përshtatjes, e cila është plotësisht e harmonizuar me draftin përfundimtar të Planit Kombëtar të Përshtatjes të Shqipërisë dhe fokusohet në sektorët prioritarë si: bujqësia, turizmi, energjia, transporti dhe zhvillimi urban. Këta sektorë janë thelbësorë për ekonominë e Shqipërisë, duke mbështetur jetesën, infrastrukturën dhe burimet natyrore.</w:t>
      </w:r>
    </w:p>
    <w:p w14:paraId="7A61A23D" w14:textId="77777777" w:rsidR="004F2407" w:rsidRDefault="004F2407" w:rsidP="004771D0">
      <w:pPr>
        <w:pStyle w:val="BodyText"/>
        <w:jc w:val="both"/>
        <w:rPr>
          <w:rFonts w:asciiTheme="majorHAnsi" w:hAnsiTheme="majorHAnsi" w:cstheme="majorHAnsi"/>
        </w:rPr>
      </w:pPr>
    </w:p>
    <w:p w14:paraId="4708FBCF" w14:textId="77777777" w:rsidR="00DD11E1" w:rsidRDefault="00DD11E1" w:rsidP="004771D0">
      <w:pPr>
        <w:pStyle w:val="BodyText"/>
        <w:jc w:val="both"/>
        <w:rPr>
          <w:rFonts w:asciiTheme="majorHAnsi" w:hAnsiTheme="majorHAnsi" w:cstheme="majorHAnsi"/>
        </w:rPr>
      </w:pPr>
    </w:p>
    <w:p w14:paraId="3EA9A968" w14:textId="77777777" w:rsidR="00DD11E1" w:rsidRDefault="00DD11E1" w:rsidP="004771D0">
      <w:pPr>
        <w:pStyle w:val="BodyText"/>
        <w:jc w:val="both"/>
        <w:rPr>
          <w:rFonts w:asciiTheme="majorHAnsi" w:hAnsiTheme="majorHAnsi" w:cstheme="majorHAnsi"/>
        </w:rPr>
      </w:pPr>
    </w:p>
    <w:p w14:paraId="323D48A0" w14:textId="77777777" w:rsidR="00DD11E1" w:rsidRDefault="00DD11E1" w:rsidP="004771D0">
      <w:pPr>
        <w:pStyle w:val="BodyText"/>
        <w:jc w:val="both"/>
        <w:rPr>
          <w:rFonts w:asciiTheme="majorHAnsi" w:hAnsiTheme="majorHAnsi" w:cstheme="majorHAnsi"/>
        </w:rPr>
      </w:pPr>
    </w:p>
    <w:p w14:paraId="416792E5" w14:textId="77777777" w:rsidR="00DD11E1" w:rsidRPr="00420F06" w:rsidRDefault="00DD11E1" w:rsidP="004771D0">
      <w:pPr>
        <w:pStyle w:val="BodyText"/>
        <w:jc w:val="both"/>
        <w:rPr>
          <w:rFonts w:asciiTheme="majorHAnsi" w:hAnsiTheme="majorHAnsi" w:cstheme="majorHAnsi"/>
        </w:rPr>
      </w:pPr>
    </w:p>
    <w:p w14:paraId="34C63D3E" w14:textId="77777777" w:rsidR="00AE109A" w:rsidRPr="00420F06" w:rsidRDefault="00213150" w:rsidP="00AE109A">
      <w:pPr>
        <w:pStyle w:val="Heading1"/>
        <w:rPr>
          <w:rFonts w:asciiTheme="majorHAnsi" w:hAnsiTheme="majorHAnsi" w:cstheme="majorHAnsi"/>
        </w:rPr>
      </w:pPr>
      <w:bookmarkStart w:id="7" w:name="_Toc216778854"/>
      <w:r>
        <w:rPr>
          <w:rFonts w:asciiTheme="majorHAnsi" w:hAnsiTheme="majorHAnsi"/>
        </w:rPr>
        <w:lastRenderedPageBreak/>
        <w:t>Përmbledhje e zhvillimeve procedurale</w:t>
      </w:r>
      <w:bookmarkEnd w:id="7"/>
    </w:p>
    <w:p w14:paraId="34C63D40" w14:textId="77777777" w:rsidR="00A63BAC" w:rsidRPr="0044566A" w:rsidRDefault="00A63BAC" w:rsidP="00A63BAC">
      <w:pPr>
        <w:pStyle w:val="BodyText"/>
        <w:jc w:val="both"/>
        <w:rPr>
          <w:rFonts w:asciiTheme="majorHAnsi" w:hAnsiTheme="majorHAnsi" w:cstheme="majorHAnsi"/>
        </w:rPr>
      </w:pPr>
      <w:r>
        <w:rPr>
          <w:rFonts w:asciiTheme="majorHAnsi" w:hAnsiTheme="majorHAnsi"/>
        </w:rPr>
        <w:t xml:space="preserve">Procesi i planifikimit për Kontributin Kombëtar të Përcaktuar (KKP) të Shqipërisë është i integruar ngushtësisht me zhvillimin e Planit Kombëtar të Energjisë dhe Klimës (PKEK), duke garantuar kështu koherencën mes angazhimeve klimatike dhe politikave për energjinë. Të dyja këto procese kanë përfituar nga mbështetja e vazhdueshme teknike e ofruar nga </w:t>
      </w:r>
      <w:r>
        <w:rPr>
          <w:rFonts w:asciiTheme="majorHAnsi" w:hAnsiTheme="majorHAnsi"/>
          <w:i/>
          <w:iCs/>
        </w:rPr>
        <w:t>Deutsche Gesellschaft für Internationale Zusammenarbeit</w:t>
      </w:r>
      <w:r>
        <w:rPr>
          <w:rFonts w:asciiTheme="majorHAnsi" w:hAnsiTheme="majorHAnsi"/>
        </w:rPr>
        <w:t xml:space="preserve"> (GIZ), i cili ka luajtur një rol kyç duke lehtësuar ngritjen e kapaciteteve, zhvillimin e të dhënave dhe koordinimin mes grupeve të interesit.</w:t>
      </w:r>
    </w:p>
    <w:p w14:paraId="34C63D41" w14:textId="675B21E4" w:rsidR="00945762" w:rsidRPr="009D56D9" w:rsidRDefault="000368E2" w:rsidP="000368E2">
      <w:pPr>
        <w:pStyle w:val="BodyText"/>
        <w:jc w:val="both"/>
        <w:rPr>
          <w:rFonts w:asciiTheme="majorHAnsi" w:hAnsiTheme="majorHAnsi" w:cstheme="majorHAnsi"/>
        </w:rPr>
      </w:pPr>
      <w:r>
        <w:rPr>
          <w:rFonts w:asciiTheme="majorHAnsi" w:hAnsiTheme="majorHAnsi"/>
        </w:rPr>
        <w:t>Shqipëria është palë në një sërë marrëveshjesh mjedisore shumëpalëshe, duke përfshirë në Konventën Kuadër të Kombeve të Bashkuara për Ndryshimet Klimatike (KKKBNK) që nga viti 1994, si dhe ka ratifikuar Protokollin e Kiotos dhe Marrëveshjen e Parisit, përkatësisht në vitet 2005 dhe 2016.  Shqipëria ka miratuar në vitin 2020 ligjin “Për ndryshimet klimatike” (Ligji nr. 155/2020, datë 17.12.2020)</w:t>
      </w:r>
      <w:r w:rsidR="00CD5913" w:rsidRPr="004F6258">
        <w:rPr>
          <w:vertAlign w:val="superscript"/>
        </w:rPr>
        <w:footnoteReference w:id="1"/>
      </w:r>
      <w:r>
        <w:rPr>
          <w:rFonts w:asciiTheme="majorHAnsi" w:hAnsiTheme="majorHAnsi"/>
          <w:vertAlign w:val="superscript"/>
        </w:rPr>
        <w:t>.</w:t>
      </w:r>
      <w:r>
        <w:rPr>
          <w:rFonts w:asciiTheme="majorHAnsi" w:hAnsiTheme="majorHAnsi"/>
        </w:rPr>
        <w:t xml:space="preserve">. Ky ligj është përafruar pjesërisht me </w:t>
      </w:r>
      <w:r w:rsidR="00387652" w:rsidRPr="00945762">
        <w:rPr>
          <w:rFonts w:asciiTheme="majorHAnsi" w:hAnsiTheme="majorHAnsi" w:cstheme="majorHAnsi"/>
        </w:rPr>
        <w:fldChar w:fldCharType="begin"/>
      </w:r>
      <w:r w:rsidR="00945762" w:rsidRPr="004F6258">
        <w:rPr>
          <w:rFonts w:asciiTheme="majorHAnsi" w:hAnsiTheme="majorHAnsi" w:cstheme="majorHAnsi"/>
        </w:rPr>
        <w:instrText>HYPERLINK "https://unfccc.int/process-and-meetings/united-nations-framework-convention-on-climate-change" \t "_self"</w:instrText>
      </w:r>
      <w:r w:rsidR="00387652" w:rsidRPr="00945762">
        <w:rPr>
          <w:rFonts w:asciiTheme="majorHAnsi" w:hAnsiTheme="majorHAnsi" w:cstheme="majorHAnsi"/>
        </w:rPr>
      </w:r>
      <w:r w:rsidR="00387652" w:rsidRPr="00945762">
        <w:rPr>
          <w:rFonts w:asciiTheme="majorHAnsi" w:hAnsiTheme="majorHAnsi" w:cstheme="majorHAnsi"/>
        </w:rPr>
        <w:fldChar w:fldCharType="separate"/>
      </w:r>
      <w:r>
        <w:rPr>
          <w:rFonts w:asciiTheme="majorHAnsi" w:hAnsiTheme="majorHAnsi"/>
        </w:rPr>
        <w:t xml:space="preserve">kërkesat e KKKBNK-së dhe pasqyron gjithashtu disa kërkesa që burojnë nga legjislacioni i BE-së për klimën. </w:t>
      </w:r>
    </w:p>
    <w:p w14:paraId="34C63D42" w14:textId="0AE164FC" w:rsidR="00945762" w:rsidRPr="004F6258" w:rsidRDefault="002C56A6" w:rsidP="004F6258">
      <w:pPr>
        <w:pStyle w:val="BodyText"/>
        <w:jc w:val="both"/>
      </w:pPr>
      <w:r>
        <w:rPr>
          <w:rFonts w:asciiTheme="majorHAnsi" w:hAnsiTheme="majorHAnsi"/>
        </w:rPr>
        <w:t>Ligji “Për ndryshimet klimatike”, neni 7:</w:t>
      </w:r>
    </w:p>
    <w:p w14:paraId="34C63D44" w14:textId="3AFF58CC" w:rsidR="00A63BAC" w:rsidRPr="009D56D9" w:rsidRDefault="00387652" w:rsidP="004F6258">
      <w:pPr>
        <w:pStyle w:val="BodyText"/>
        <w:numPr>
          <w:ilvl w:val="0"/>
          <w:numId w:val="28"/>
        </w:numPr>
        <w:jc w:val="both"/>
        <w:rPr>
          <w:rFonts w:asciiTheme="majorHAnsi" w:hAnsiTheme="majorHAnsi" w:cstheme="majorHAnsi"/>
          <w:i/>
          <w:iCs/>
        </w:rPr>
      </w:pPr>
      <w:r w:rsidRPr="00945762">
        <w:rPr>
          <w:rFonts w:asciiTheme="majorHAnsi" w:hAnsiTheme="majorHAnsi" w:cstheme="majorHAnsi"/>
        </w:rPr>
        <w:fldChar w:fldCharType="end"/>
      </w:r>
      <w:r>
        <w:rPr>
          <w:rFonts w:asciiTheme="majorHAnsi" w:hAnsiTheme="majorHAnsi"/>
          <w:i/>
          <w:iCs/>
        </w:rPr>
        <w:t>Dokumenti i NDC-së përcakton kontributin kombëtar për reduktimin e gazeve me efekt serrë përkundrejt arritjes së objektivit global të Konventës Kuadër të Kombeve të Bashkuara për Ndryshimet Klimatike, për mbajtjen e temperaturave në 2°C, duke kufizuar rrezikun e ardhshëm dhe kostot e përshtatjes ndaj ndryshimeve të klimës.</w:t>
      </w:r>
    </w:p>
    <w:p w14:paraId="34C63D45" w14:textId="70FE58EE" w:rsidR="00A63BAC" w:rsidRPr="009D56D9" w:rsidRDefault="00A63BAC" w:rsidP="004F6258">
      <w:pPr>
        <w:pStyle w:val="BodyText"/>
        <w:numPr>
          <w:ilvl w:val="0"/>
          <w:numId w:val="28"/>
        </w:numPr>
        <w:spacing w:after="0"/>
        <w:jc w:val="both"/>
        <w:rPr>
          <w:rFonts w:asciiTheme="majorHAnsi" w:hAnsiTheme="majorHAnsi" w:cstheme="majorHAnsi"/>
          <w:i/>
          <w:iCs/>
        </w:rPr>
      </w:pPr>
      <w:r>
        <w:rPr>
          <w:rFonts w:asciiTheme="majorHAnsi" w:hAnsiTheme="majorHAnsi"/>
          <w:i/>
          <w:iCs/>
        </w:rPr>
        <w:t>Kontributi Kombëtar i Përcaktuar rishikohet çdo 4 vjet dhe, nëse është e mundur, përditësohet me synimin për ta rritur objektivin e reduktimit të gazeve me efekt serrë në atë masë që lejojnë kushtet e vendit.</w:t>
      </w:r>
    </w:p>
    <w:p w14:paraId="34C63D46" w14:textId="3696CE74" w:rsidR="00A63BAC" w:rsidRPr="009D56D9" w:rsidRDefault="00A63BAC" w:rsidP="004F6258">
      <w:pPr>
        <w:pStyle w:val="BodyText"/>
        <w:numPr>
          <w:ilvl w:val="0"/>
          <w:numId w:val="28"/>
        </w:numPr>
        <w:spacing w:after="0"/>
        <w:jc w:val="both"/>
        <w:rPr>
          <w:rFonts w:asciiTheme="majorHAnsi" w:hAnsiTheme="majorHAnsi" w:cstheme="majorHAnsi"/>
          <w:i/>
          <w:iCs/>
        </w:rPr>
      </w:pPr>
      <w:r>
        <w:rPr>
          <w:rFonts w:asciiTheme="majorHAnsi" w:hAnsiTheme="majorHAnsi"/>
          <w:i/>
          <w:iCs/>
        </w:rPr>
        <w:t>Ministria koordinon me grupin ndërministror të punës në fushën e ndryshimeve klimatike dhe, sipas rastit, edhe me aktorë të tjerë, punën për zbatimin dhe rishikimin e dokumentit të parashikuar në pikën 1 të këtij neni.</w:t>
      </w:r>
    </w:p>
    <w:p w14:paraId="34C63D47" w14:textId="5C399FD0" w:rsidR="00A63BAC" w:rsidRPr="009D56D9" w:rsidRDefault="00A63BAC" w:rsidP="004F6258">
      <w:pPr>
        <w:pStyle w:val="BodyText"/>
        <w:numPr>
          <w:ilvl w:val="0"/>
          <w:numId w:val="28"/>
        </w:numPr>
        <w:spacing w:after="0"/>
        <w:jc w:val="both"/>
        <w:rPr>
          <w:rFonts w:asciiTheme="majorHAnsi" w:hAnsiTheme="majorHAnsi" w:cstheme="majorHAnsi"/>
          <w:i/>
          <w:iCs/>
        </w:rPr>
      </w:pPr>
      <w:r>
        <w:rPr>
          <w:rFonts w:asciiTheme="majorHAnsi" w:hAnsiTheme="majorHAnsi"/>
          <w:i/>
          <w:iCs/>
        </w:rPr>
        <w:t>Metodologjia për hartimin dhe procesin e përgatitjes së dokumentit të NDC-së miratohet me udhëzim të ministrit, sipas modelit të miratuar ose të rekomanduar nga Konventa, në përputhje me kushtet e vendit.</w:t>
      </w:r>
    </w:p>
    <w:p w14:paraId="12127B7E" w14:textId="6BCD6202" w:rsidR="004F6258" w:rsidRPr="00DD11E1" w:rsidRDefault="00A63BAC" w:rsidP="00D43717">
      <w:pPr>
        <w:pStyle w:val="BodyText"/>
        <w:numPr>
          <w:ilvl w:val="0"/>
          <w:numId w:val="28"/>
        </w:numPr>
        <w:spacing w:after="0"/>
        <w:jc w:val="both"/>
        <w:rPr>
          <w:rFonts w:asciiTheme="majorHAnsi" w:hAnsiTheme="majorHAnsi" w:cstheme="majorHAnsi"/>
        </w:rPr>
      </w:pPr>
      <w:r>
        <w:rPr>
          <w:rFonts w:asciiTheme="majorHAnsi" w:hAnsiTheme="majorHAnsi"/>
          <w:i/>
          <w:iCs/>
        </w:rPr>
        <w:t>Dokumenti “Përcaktimi i Kontributit Kombëtar” miratohet nga Këshilli i Ministrave me propozimin e ministrit dhe dorëzohet në sekretariatin e Konventës.</w:t>
      </w:r>
      <w:r>
        <w:rPr>
          <w:rFonts w:asciiTheme="majorHAnsi" w:hAnsiTheme="majorHAnsi"/>
        </w:rPr>
        <w:cr/>
      </w:r>
    </w:p>
    <w:p w14:paraId="34C63D49" w14:textId="4CF7B2AF" w:rsidR="00A63BAC" w:rsidRPr="009D56D9" w:rsidRDefault="00A63BAC" w:rsidP="00D43717">
      <w:pPr>
        <w:pStyle w:val="BodyText"/>
        <w:jc w:val="both"/>
        <w:rPr>
          <w:rFonts w:asciiTheme="majorHAnsi" w:hAnsiTheme="majorHAnsi" w:cstheme="majorHAnsi"/>
        </w:rPr>
      </w:pPr>
      <w:r>
        <w:rPr>
          <w:rFonts w:asciiTheme="majorHAnsi" w:hAnsiTheme="majorHAnsi"/>
        </w:rPr>
        <w:t xml:space="preserve">Shqipëria e ka përgatitur dokumentin e parë të </w:t>
      </w:r>
      <w:r>
        <w:rPr>
          <w:rFonts w:asciiTheme="majorHAnsi" w:hAnsiTheme="majorHAnsi"/>
          <w:b/>
          <w:bCs/>
        </w:rPr>
        <w:t xml:space="preserve">KKP-së </w:t>
      </w:r>
      <w:r>
        <w:rPr>
          <w:rFonts w:asciiTheme="majorHAnsi" w:hAnsiTheme="majorHAnsi"/>
        </w:rPr>
        <w:t xml:space="preserve"> në vitin 2015 dhe e ka miratuar atë me Vendimin e Këshillit të Ministrave (VKM) nr. 762, datës 9.9.2015</w:t>
      </w:r>
      <w:r w:rsidR="00042A55">
        <w:rPr>
          <w:rStyle w:val="FootnoteReference"/>
          <w:rFonts w:asciiTheme="majorHAnsi" w:hAnsiTheme="majorHAnsi" w:cstheme="majorHAnsi"/>
          <w:lang w:val="en-US"/>
        </w:rPr>
        <w:footnoteReference w:id="2"/>
      </w:r>
      <w:r>
        <w:rPr>
          <w:rFonts w:asciiTheme="majorHAnsi" w:hAnsiTheme="majorHAnsi"/>
        </w:rPr>
        <w:t xml:space="preserve">. Bazuar gjithashtu në zhvillimet dhe kërkesat më të fundit në kuadrin kombëtar dhe ndërkombëtar, u rishikua KKP-ja dhe në vitin 2021 u përgatit versioni i përditësuar, i cili u miratua përmes </w:t>
      </w:r>
      <w:bookmarkStart w:id="8" w:name="_Hlk210123921"/>
      <w:r>
        <w:rPr>
          <w:rFonts w:asciiTheme="majorHAnsi" w:hAnsiTheme="majorHAnsi"/>
        </w:rPr>
        <w:t>VKM-së nr. 581, datë 6.10.2021</w:t>
      </w:r>
      <w:bookmarkEnd w:id="8"/>
      <w:r w:rsidR="001120DE">
        <w:rPr>
          <w:rStyle w:val="FootnoteReference"/>
          <w:rFonts w:asciiTheme="majorHAnsi" w:hAnsiTheme="majorHAnsi" w:cstheme="majorHAnsi"/>
          <w:lang w:val="en-US"/>
        </w:rPr>
        <w:footnoteReference w:id="3"/>
      </w:r>
      <w:r>
        <w:rPr>
          <w:rFonts w:asciiTheme="majorHAnsi" w:hAnsiTheme="majorHAnsi"/>
        </w:rPr>
        <w:t xml:space="preserve"> dhe u dorëzua më 12.10.2021. </w:t>
      </w:r>
      <w:r w:rsidR="004F2407" w:rsidRPr="00703C12">
        <w:rPr>
          <w:rFonts w:asciiTheme="majorHAnsi" w:hAnsiTheme="majorHAnsi" w:cstheme="majorHAnsi"/>
        </w:rPr>
        <w:t xml:space="preserve">Meqenëse ligji shqiptar për ndryshimet klimatike kërkon që </w:t>
      </w:r>
      <w:r w:rsidR="004F2407" w:rsidRPr="00703C12">
        <w:rPr>
          <w:rFonts w:asciiTheme="majorHAnsi" w:hAnsiTheme="majorHAnsi" w:cstheme="majorHAnsi"/>
        </w:rPr>
        <w:t>KKP</w:t>
      </w:r>
      <w:r w:rsidR="004F2407" w:rsidRPr="00703C12">
        <w:rPr>
          <w:rFonts w:asciiTheme="majorHAnsi" w:hAnsiTheme="majorHAnsi" w:cstheme="majorHAnsi"/>
        </w:rPr>
        <w:t xml:space="preserve">-ja të rishikohet brenda një periudhe katërvjeçare, Shqipëria duhet ta miratojë </w:t>
      </w:r>
      <w:r w:rsidR="004F2407" w:rsidRPr="00703C12">
        <w:rPr>
          <w:rFonts w:asciiTheme="majorHAnsi" w:hAnsiTheme="majorHAnsi" w:cstheme="majorHAnsi"/>
        </w:rPr>
        <w:t>KKP</w:t>
      </w:r>
      <w:r w:rsidR="004F2407" w:rsidRPr="00703C12">
        <w:rPr>
          <w:rFonts w:asciiTheme="majorHAnsi" w:hAnsiTheme="majorHAnsi" w:cstheme="majorHAnsi"/>
        </w:rPr>
        <w:t xml:space="preserve">-në e re brenda </w:t>
      </w:r>
      <w:r w:rsidR="004F2407" w:rsidRPr="00703C12">
        <w:rPr>
          <w:rFonts w:asciiTheme="majorHAnsi" w:hAnsiTheme="majorHAnsi" w:cstheme="majorHAnsi"/>
        </w:rPr>
        <w:lastRenderedPageBreak/>
        <w:t xml:space="preserve">vitit 2025. Megjithatë, për shkak të kohëzgjatjes së procesit të miratimit, pritet që </w:t>
      </w:r>
      <w:r w:rsidR="004F2407" w:rsidRPr="00703C12">
        <w:rPr>
          <w:rFonts w:asciiTheme="majorHAnsi" w:hAnsiTheme="majorHAnsi" w:cstheme="majorHAnsi"/>
        </w:rPr>
        <w:t>Vendimi i K</w:t>
      </w:r>
      <w:r w:rsidR="00703C12">
        <w:rPr>
          <w:rFonts w:asciiTheme="majorHAnsi" w:hAnsiTheme="majorHAnsi" w:cstheme="majorHAnsi"/>
        </w:rPr>
        <w:t>ë</w:t>
      </w:r>
      <w:r w:rsidR="004F2407" w:rsidRPr="00703C12">
        <w:rPr>
          <w:rFonts w:asciiTheme="majorHAnsi" w:hAnsiTheme="majorHAnsi" w:cstheme="majorHAnsi"/>
        </w:rPr>
        <w:t>shillit t</w:t>
      </w:r>
      <w:r w:rsidR="00703C12">
        <w:rPr>
          <w:rFonts w:asciiTheme="majorHAnsi" w:hAnsiTheme="majorHAnsi" w:cstheme="majorHAnsi"/>
        </w:rPr>
        <w:t>ë</w:t>
      </w:r>
      <w:r w:rsidR="004F2407" w:rsidRPr="00703C12">
        <w:rPr>
          <w:rFonts w:asciiTheme="majorHAnsi" w:hAnsiTheme="majorHAnsi" w:cstheme="majorHAnsi"/>
        </w:rPr>
        <w:t xml:space="preserve"> Ministrave (</w:t>
      </w:r>
      <w:r w:rsidR="004F2407" w:rsidRPr="00703C12">
        <w:rPr>
          <w:rFonts w:asciiTheme="majorHAnsi" w:hAnsiTheme="majorHAnsi" w:cstheme="majorHAnsi"/>
        </w:rPr>
        <w:t>VKM</w:t>
      </w:r>
      <w:r w:rsidR="00703C12" w:rsidRPr="00703C12">
        <w:rPr>
          <w:rFonts w:asciiTheme="majorHAnsi" w:hAnsiTheme="majorHAnsi" w:cstheme="majorHAnsi"/>
        </w:rPr>
        <w:t>)</w:t>
      </w:r>
      <w:r w:rsidR="004F2407" w:rsidRPr="00703C12">
        <w:rPr>
          <w:rFonts w:asciiTheme="majorHAnsi" w:hAnsiTheme="majorHAnsi" w:cstheme="majorHAnsi"/>
        </w:rPr>
        <w:t xml:space="preserve"> për miratimin e </w:t>
      </w:r>
      <w:r w:rsidR="004F2407" w:rsidRPr="00703C12">
        <w:rPr>
          <w:rFonts w:asciiTheme="majorHAnsi" w:hAnsiTheme="majorHAnsi" w:cstheme="majorHAnsi"/>
        </w:rPr>
        <w:t>KKP</w:t>
      </w:r>
      <w:r w:rsidR="004F2407" w:rsidRPr="00703C12">
        <w:rPr>
          <w:rFonts w:asciiTheme="majorHAnsi" w:hAnsiTheme="majorHAnsi" w:cstheme="majorHAnsi"/>
        </w:rPr>
        <w:t xml:space="preserve"> 3.0 të miratohet në gjysmën e parë të vitit 2026.</w:t>
      </w:r>
    </w:p>
    <w:p w14:paraId="4A513BE8" w14:textId="13BBF936" w:rsidR="00AB2C1B" w:rsidRPr="00AB2C1B" w:rsidRDefault="00A63BAC" w:rsidP="00A63BAC">
      <w:pPr>
        <w:pStyle w:val="BodyText"/>
        <w:jc w:val="both"/>
        <w:rPr>
          <w:rFonts w:asciiTheme="majorHAnsi" w:hAnsiTheme="majorHAnsi" w:cstheme="majorHAnsi"/>
        </w:rPr>
      </w:pPr>
      <w:r>
        <w:rPr>
          <w:rFonts w:asciiTheme="majorHAnsi" w:hAnsiTheme="majorHAnsi"/>
        </w:rPr>
        <w:t xml:space="preserve">Shqipëria përgatiti </w:t>
      </w:r>
      <w:r>
        <w:rPr>
          <w:rFonts w:asciiTheme="majorHAnsi" w:hAnsiTheme="majorHAnsi"/>
          <w:b/>
          <w:bCs/>
        </w:rPr>
        <w:t>PKEK-në</w:t>
      </w:r>
      <w:r>
        <w:rPr>
          <w:rFonts w:asciiTheme="majorHAnsi" w:hAnsiTheme="majorHAnsi"/>
        </w:rPr>
        <w:t xml:space="preserve"> e parë gjatë periudhës 2020-2021, e cila u miratua përmes VKM-së nr. 872, datë 29.12.2021</w:t>
      </w:r>
      <w:r w:rsidR="00617443">
        <w:rPr>
          <w:rStyle w:val="FootnoteReference"/>
          <w:rFonts w:asciiTheme="majorHAnsi" w:hAnsiTheme="majorHAnsi" w:cstheme="majorHAnsi"/>
          <w:lang w:val="en-US"/>
        </w:rPr>
        <w:footnoteReference w:id="4"/>
      </w:r>
      <w:r>
        <w:rPr>
          <w:rFonts w:asciiTheme="majorHAnsi" w:hAnsiTheme="majorHAnsi"/>
        </w:rPr>
        <w:t xml:space="preserve">. Shqipëria nisi një rishikim të PKEK-së në vitin 2022 për të përfshirë objektivat e përditësuar mbi energjinë dhe klimën për vitin 2030 dhe për t'iu përgjigjur rekomandimeve të bëra nga Sekretariati i Komunitetit të Energjisë (EnCS) për sa i përket cilësisë dhe plotësisë së dokumenteve të dërguara të PKEK-së. Ky proces rishikimi u realizua gjatë viteve 2024 dhe 2025 dhe u mbështet nga asistenca teknike e GIZ-it. </w:t>
      </w:r>
      <w:r w:rsidR="00703C12" w:rsidRPr="00703C12">
        <w:rPr>
          <w:rFonts w:asciiTheme="majorHAnsi" w:hAnsiTheme="majorHAnsi" w:cstheme="majorHAnsi"/>
        </w:rPr>
        <w:t>Drafti i p</w:t>
      </w:r>
      <w:r w:rsidR="00DF05F7">
        <w:rPr>
          <w:rFonts w:asciiTheme="majorHAnsi" w:hAnsiTheme="majorHAnsi" w:cstheme="majorHAnsi"/>
        </w:rPr>
        <w:t>ë</w:t>
      </w:r>
      <w:r w:rsidR="00703C12" w:rsidRPr="00703C12">
        <w:rPr>
          <w:rFonts w:asciiTheme="majorHAnsi" w:hAnsiTheme="majorHAnsi" w:cstheme="majorHAnsi"/>
        </w:rPr>
        <w:t>rgatitur ka p</w:t>
      </w:r>
      <w:r w:rsidR="00DF05F7">
        <w:rPr>
          <w:rFonts w:asciiTheme="majorHAnsi" w:hAnsiTheme="majorHAnsi" w:cstheme="majorHAnsi"/>
        </w:rPr>
        <w:t>ë</w:t>
      </w:r>
      <w:r w:rsidR="00703C12" w:rsidRPr="00703C12">
        <w:rPr>
          <w:rFonts w:asciiTheme="majorHAnsi" w:hAnsiTheme="majorHAnsi" w:cstheme="majorHAnsi"/>
        </w:rPr>
        <w:t xml:space="preserve">rfunduar procesin e konsultimit dhe PKEK </w:t>
      </w:r>
      <w:r w:rsidR="00703C12" w:rsidRPr="00BB3D87">
        <w:rPr>
          <w:rFonts w:asciiTheme="majorHAnsi" w:hAnsiTheme="majorHAnsi" w:cstheme="majorHAnsi"/>
        </w:rPr>
        <w:t>pritet të miratohet zyrtarisht brenda vitit 2025.</w:t>
      </w:r>
    </w:p>
    <w:p w14:paraId="7648005C" w14:textId="1579E113" w:rsidR="00DD72AB" w:rsidRPr="004B50B5" w:rsidRDefault="00DD72AB" w:rsidP="00A63BAC">
      <w:pPr>
        <w:pStyle w:val="BodyText"/>
        <w:jc w:val="both"/>
        <w:rPr>
          <w:rFonts w:asciiTheme="majorHAnsi" w:hAnsiTheme="majorHAnsi" w:cstheme="majorHAnsi"/>
        </w:rPr>
      </w:pPr>
      <w:r>
        <w:rPr>
          <w:rFonts w:asciiTheme="majorHAnsi" w:hAnsiTheme="majorHAnsi"/>
        </w:rPr>
        <w:t xml:space="preserve">Strategjia Kombëtare për Zhvillim dhe Integrim Evropian </w:t>
      </w:r>
      <w:r>
        <w:rPr>
          <w:rFonts w:asciiTheme="majorHAnsi" w:hAnsiTheme="majorHAnsi"/>
          <w:b/>
          <w:bCs/>
        </w:rPr>
        <w:t>(SKZHIE III)</w:t>
      </w:r>
      <w:r>
        <w:rPr>
          <w:rFonts w:asciiTheme="majorHAnsi" w:hAnsiTheme="majorHAnsi"/>
        </w:rPr>
        <w:t xml:space="preserve"> e Shqipërisë mbulon periudhën 2022-2030 dhe u miratua zyrtarisht nga Këshilli i Ministrave përmes Vendimit nr. 88, datë 22.2.2023, duke përcaktuar kuadrin gjithëpërfshirës për reforma në përputhje me anëtarësimin në BE dhe me zhvillimin e qëndrueshëm. Më pas, nisi zbatimi në praktikë përmes instrumenteve periodike, si Plani Kombëtar për Integrimin Evropian 2024-2026 dhe strategjitë e tjera ndërsektoriale, të cilat burojnë dhe koordinohen nga SKZHIE III</w:t>
      </w:r>
      <w:r>
        <w:rPr>
          <w:rStyle w:val="FootnoteReference"/>
          <w:rFonts w:asciiTheme="majorHAnsi" w:hAnsiTheme="majorHAnsi" w:cstheme="majorHAnsi"/>
          <w:lang w:val="en-US"/>
        </w:rPr>
        <w:footnoteReference w:id="5"/>
      </w:r>
      <w:r>
        <w:rPr>
          <w:rFonts w:asciiTheme="majorHAnsi" w:hAnsiTheme="majorHAnsi"/>
        </w:rPr>
        <w:t>.</w:t>
      </w:r>
    </w:p>
    <w:p w14:paraId="3B4C1B49" w14:textId="0658563B" w:rsidR="001A3588" w:rsidRPr="009D56D9" w:rsidRDefault="001A3588" w:rsidP="00A63BAC">
      <w:pPr>
        <w:pStyle w:val="BodyText"/>
        <w:jc w:val="both"/>
        <w:rPr>
          <w:rFonts w:asciiTheme="majorHAnsi" w:hAnsiTheme="majorHAnsi" w:cstheme="majorHAnsi"/>
        </w:rPr>
      </w:pPr>
      <w:r>
        <w:rPr>
          <w:rFonts w:asciiTheme="majorHAnsi" w:hAnsiTheme="majorHAnsi"/>
        </w:rPr>
        <w:t>Ndonëse dokumenti i parë i PKEK-së dhe versioni i dytë (i përditësuar) i KKP-së u miratuan të dy në vitin 2021, këto dokumente nuk ishin plotësisht të pajtueshme. PKEK-ja ndoqi qasjen e kërkuar nga Rregullorja për Qeverisjen e Energjisë, duke përfshirë zhvillimin e politikave dhe masave, si dhe skenarët WEM (me masa ekzistuese) dhe WAM (me masa shtesë). Nga ana tjetër, KKP-ja miratoi një kuadër tjetër të bazuar në skenarin BaU (punë si zakonisht) dhe në skenarët sipas objektivave të KKP-së (Kontributi Kombëtar i Përcaktuar). Për më tepër, modelimi i shkarkimeve totale nuk ishte konsistent mes dy dokumenteve.</w:t>
      </w:r>
    </w:p>
    <w:p w14:paraId="34C63D4C" w14:textId="77777777" w:rsidR="00A63BAC" w:rsidRPr="009D56D9" w:rsidRDefault="00A63BAC" w:rsidP="00A63BAC">
      <w:pPr>
        <w:pStyle w:val="BodyText"/>
        <w:jc w:val="both"/>
        <w:rPr>
          <w:rFonts w:asciiTheme="majorHAnsi" w:hAnsiTheme="majorHAnsi" w:cstheme="majorHAnsi"/>
        </w:rPr>
      </w:pPr>
      <w:r>
        <w:rPr>
          <w:rFonts w:asciiTheme="majorHAnsi" w:hAnsiTheme="majorHAnsi"/>
        </w:rPr>
        <w:t>U arrit në konkluzionin se, në rishikimin e kësaj NDC-je, duhen ndjekur rezultatet dhe modelimi i PKEK-së së rishikuar për arsyet e mëposhtme:</w:t>
      </w:r>
    </w:p>
    <w:p w14:paraId="34C63D4D" w14:textId="77777777" w:rsidR="00A63BAC" w:rsidRPr="009D56D9" w:rsidRDefault="00A63BAC" w:rsidP="00392063">
      <w:pPr>
        <w:pStyle w:val="BodyText"/>
        <w:numPr>
          <w:ilvl w:val="0"/>
          <w:numId w:val="16"/>
        </w:numPr>
        <w:spacing w:after="0"/>
        <w:jc w:val="both"/>
        <w:rPr>
          <w:rFonts w:asciiTheme="majorHAnsi" w:hAnsiTheme="majorHAnsi" w:cstheme="majorHAnsi"/>
        </w:rPr>
      </w:pPr>
      <w:r>
        <w:rPr>
          <w:rFonts w:asciiTheme="majorHAnsi" w:hAnsiTheme="majorHAnsi"/>
        </w:rPr>
        <w:t>Skenarët dhe rruga drejt neutralitetit të karbonit duhet të jenë të qarta dhe të ndjekin një linjë të vetme të dakordësuar (meqenëse si PKEK-ja, po ashtu edhe PKK-ja miratohen nga Këshilli i Ministrave)</w:t>
      </w:r>
    </w:p>
    <w:p w14:paraId="34C63D4E" w14:textId="4DC1B770" w:rsidR="00A63BAC" w:rsidRPr="009D56D9" w:rsidRDefault="00A63BAC" w:rsidP="00392063">
      <w:pPr>
        <w:pStyle w:val="BodyText"/>
        <w:numPr>
          <w:ilvl w:val="0"/>
          <w:numId w:val="16"/>
        </w:numPr>
        <w:spacing w:after="0"/>
        <w:jc w:val="both"/>
        <w:rPr>
          <w:rFonts w:asciiTheme="majorHAnsi" w:hAnsiTheme="majorHAnsi" w:cstheme="majorHAnsi"/>
        </w:rPr>
      </w:pPr>
      <w:r>
        <w:rPr>
          <w:rFonts w:asciiTheme="majorHAnsi" w:hAnsiTheme="majorHAnsi"/>
        </w:rPr>
        <w:t>Shqipëria është në procesin për t'u bërë një shtet anëtar dhe për këtë arsye PKEK-ja do të ketë një rol gjithnjë e më të rëndësishëm, qoftë si dokument reference, po ashtu edhe për raportimin e problemeve</w:t>
      </w:r>
    </w:p>
    <w:p w14:paraId="34C63D4F" w14:textId="77777777" w:rsidR="00A63BAC" w:rsidRPr="009D56D9" w:rsidRDefault="00A63BAC" w:rsidP="00392063">
      <w:pPr>
        <w:pStyle w:val="BodyText"/>
        <w:numPr>
          <w:ilvl w:val="0"/>
          <w:numId w:val="16"/>
        </w:numPr>
        <w:spacing w:after="0"/>
        <w:jc w:val="both"/>
        <w:rPr>
          <w:rFonts w:asciiTheme="majorHAnsi" w:hAnsiTheme="majorHAnsi" w:cstheme="majorHAnsi"/>
        </w:rPr>
      </w:pPr>
      <w:r>
        <w:rPr>
          <w:rFonts w:asciiTheme="majorHAnsi" w:hAnsiTheme="majorHAnsi"/>
        </w:rPr>
        <w:t>PKEK-ja është rishikuar duke marrë parasysh të dhënat më të fundit në dispozicion dhe dokumentet kryesore të planifikimit (strategjitë dhe planet e veprimit) në fuqi</w:t>
      </w:r>
    </w:p>
    <w:p w14:paraId="34C63D50" w14:textId="15027A3C" w:rsidR="00A63BAC" w:rsidRPr="009D56D9" w:rsidRDefault="00A63BAC" w:rsidP="00392063">
      <w:pPr>
        <w:pStyle w:val="BodyText"/>
        <w:numPr>
          <w:ilvl w:val="0"/>
          <w:numId w:val="16"/>
        </w:numPr>
        <w:spacing w:after="0"/>
        <w:jc w:val="both"/>
        <w:rPr>
          <w:rFonts w:asciiTheme="majorHAnsi" w:hAnsiTheme="majorHAnsi" w:cstheme="majorHAnsi"/>
        </w:rPr>
      </w:pPr>
      <w:r>
        <w:rPr>
          <w:rFonts w:asciiTheme="majorHAnsi" w:hAnsiTheme="majorHAnsi"/>
        </w:rPr>
        <w:t>Gjithashtu, PKEK-ja merr parasysh kërkesat dhe rezultatet e pritura nga KKP-ja</w:t>
      </w:r>
    </w:p>
    <w:p w14:paraId="3793C9D4" w14:textId="77777777" w:rsidR="00420095" w:rsidRDefault="00D43717" w:rsidP="00392063">
      <w:pPr>
        <w:pStyle w:val="BodyText"/>
        <w:numPr>
          <w:ilvl w:val="0"/>
          <w:numId w:val="16"/>
        </w:numPr>
        <w:spacing w:after="0"/>
        <w:jc w:val="both"/>
        <w:rPr>
          <w:rFonts w:asciiTheme="majorHAnsi" w:hAnsiTheme="majorHAnsi" w:cstheme="majorHAnsi"/>
        </w:rPr>
      </w:pPr>
      <w:r>
        <w:rPr>
          <w:rFonts w:asciiTheme="majorHAnsi" w:hAnsiTheme="majorHAnsi"/>
        </w:rPr>
        <w:t>Ka disa dokumente strategjike, si ato në vijim, që përbëjnë bazën e PKEK-së dhe KKP-së:</w:t>
      </w:r>
    </w:p>
    <w:p w14:paraId="4C400A77" w14:textId="77777777" w:rsidR="00420095" w:rsidRDefault="00D43717" w:rsidP="00392063">
      <w:pPr>
        <w:pStyle w:val="BodyText"/>
        <w:numPr>
          <w:ilvl w:val="1"/>
          <w:numId w:val="30"/>
        </w:numPr>
        <w:spacing w:after="0"/>
        <w:jc w:val="both"/>
        <w:rPr>
          <w:rFonts w:asciiTheme="majorHAnsi" w:hAnsiTheme="majorHAnsi" w:cstheme="majorHAnsi"/>
        </w:rPr>
      </w:pPr>
      <w:r>
        <w:rPr>
          <w:rFonts w:asciiTheme="majorHAnsi" w:hAnsiTheme="majorHAnsi"/>
        </w:rPr>
        <w:t>Strategjia Kombëtare për Zhvillim dhe Integrim Evropian (2022-2030)</w:t>
      </w:r>
    </w:p>
    <w:p w14:paraId="338B8087" w14:textId="77777777" w:rsidR="00420095" w:rsidRDefault="00D43717" w:rsidP="00392063">
      <w:pPr>
        <w:pStyle w:val="BodyText"/>
        <w:numPr>
          <w:ilvl w:val="1"/>
          <w:numId w:val="30"/>
        </w:numPr>
        <w:spacing w:after="0"/>
        <w:jc w:val="both"/>
        <w:rPr>
          <w:rFonts w:asciiTheme="majorHAnsi" w:hAnsiTheme="majorHAnsi" w:cstheme="majorHAnsi"/>
        </w:rPr>
      </w:pPr>
      <w:r>
        <w:rPr>
          <w:rFonts w:asciiTheme="majorHAnsi" w:hAnsiTheme="majorHAnsi"/>
        </w:rPr>
        <w:t>Strategjia Kombëtare e Energjisë (2018-2030)</w:t>
      </w:r>
    </w:p>
    <w:p w14:paraId="740A48A0" w14:textId="187D0D3D" w:rsidR="00703C12" w:rsidRPr="00703C12" w:rsidRDefault="00703C12" w:rsidP="00703C12">
      <w:pPr>
        <w:pStyle w:val="BodyText"/>
        <w:numPr>
          <w:ilvl w:val="1"/>
          <w:numId w:val="30"/>
        </w:numPr>
        <w:spacing w:after="0"/>
        <w:jc w:val="both"/>
        <w:rPr>
          <w:rFonts w:asciiTheme="majorHAnsi" w:hAnsiTheme="majorHAnsi" w:cstheme="majorHAnsi"/>
        </w:rPr>
      </w:pPr>
      <w:r w:rsidRPr="00703C12">
        <w:rPr>
          <w:rFonts w:asciiTheme="majorHAnsi" w:hAnsiTheme="majorHAnsi" w:cstheme="majorHAnsi"/>
        </w:rPr>
        <w:t>Për Miratimin e Dokumentit Strategjik dhe Planeve Kombëtare për Zbutjen e Gazrave Serrë dhe Përshtatjen ndaj Ndryshimeve Klimatike (2019)</w:t>
      </w:r>
    </w:p>
    <w:p w14:paraId="3F3777B9" w14:textId="77777777" w:rsidR="00420095" w:rsidRDefault="00D43717" w:rsidP="00392063">
      <w:pPr>
        <w:pStyle w:val="BodyText"/>
        <w:numPr>
          <w:ilvl w:val="1"/>
          <w:numId w:val="30"/>
        </w:numPr>
        <w:spacing w:after="0"/>
        <w:jc w:val="both"/>
        <w:rPr>
          <w:rFonts w:asciiTheme="majorHAnsi" w:hAnsiTheme="majorHAnsi" w:cstheme="majorHAnsi"/>
        </w:rPr>
      </w:pPr>
      <w:r>
        <w:rPr>
          <w:rFonts w:asciiTheme="majorHAnsi" w:hAnsiTheme="majorHAnsi"/>
        </w:rPr>
        <w:lastRenderedPageBreak/>
        <w:t>Dokumenti i Politikave për Pyjet (2019-2030)</w:t>
      </w:r>
    </w:p>
    <w:p w14:paraId="6EB1D825" w14:textId="77777777" w:rsidR="00420095" w:rsidRDefault="00D43717" w:rsidP="00392063">
      <w:pPr>
        <w:pStyle w:val="BodyText"/>
        <w:numPr>
          <w:ilvl w:val="1"/>
          <w:numId w:val="30"/>
        </w:numPr>
        <w:spacing w:after="0"/>
        <w:jc w:val="both"/>
        <w:rPr>
          <w:rFonts w:asciiTheme="majorHAnsi" w:hAnsiTheme="majorHAnsi" w:cstheme="majorHAnsi"/>
        </w:rPr>
      </w:pPr>
      <w:r>
        <w:rPr>
          <w:rFonts w:asciiTheme="majorHAnsi" w:hAnsiTheme="majorHAnsi"/>
        </w:rPr>
        <w:t>Strategjia Kombëtare për Bujqësinë, Zhvillimin Rural dhe Peshkimin (2021-2027)</w:t>
      </w:r>
    </w:p>
    <w:p w14:paraId="34C63D51" w14:textId="7D06398C" w:rsidR="00D43717" w:rsidRPr="009D56D9" w:rsidRDefault="00F73506" w:rsidP="00392063">
      <w:pPr>
        <w:pStyle w:val="BodyText"/>
        <w:numPr>
          <w:ilvl w:val="1"/>
          <w:numId w:val="30"/>
        </w:numPr>
        <w:spacing w:after="0"/>
        <w:jc w:val="both"/>
        <w:rPr>
          <w:rFonts w:asciiTheme="majorHAnsi" w:hAnsiTheme="majorHAnsi" w:cstheme="majorHAnsi"/>
        </w:rPr>
      </w:pPr>
      <w:r>
        <w:rPr>
          <w:rFonts w:asciiTheme="majorHAnsi" w:hAnsiTheme="majorHAnsi"/>
        </w:rPr>
        <w:t>Strategji të tjera sektoriale.</w:t>
      </w:r>
    </w:p>
    <w:p w14:paraId="245B937C" w14:textId="4135D0FA" w:rsidR="0092399C" w:rsidRDefault="00DD11E1" w:rsidP="000F3E74">
      <w:pPr>
        <w:pStyle w:val="BodyText"/>
        <w:jc w:val="both"/>
        <w:rPr>
          <w:rFonts w:asciiTheme="majorHAnsi" w:hAnsiTheme="majorHAnsi" w:cstheme="majorHAnsi"/>
        </w:rPr>
      </w:pPr>
      <w:r>
        <w:rPr>
          <w:rFonts w:asciiTheme="majorHAnsi" w:hAnsiTheme="majorHAnsi" w:cstheme="majorHAnsi"/>
        </w:rPr>
        <w:br/>
      </w:r>
      <w:r w:rsidR="00F73506">
        <w:rPr>
          <w:rFonts w:asciiTheme="majorHAnsi" w:hAnsiTheme="majorHAnsi"/>
        </w:rPr>
        <w:t>Për sa i përket vlerësimit të kostove, nuk ka një llogaritje specifike të kostove të përgatitur vetëm për KKP-në. Duke qenë se pjesët e KKP-së për zbutjen dhe përshtatjen kanë qenë të harmonizuara me dokumentet ekzistuese, të cilat kanë kryer kostimin e tyre, në këtë dokument përmendet vetëm një referencë ndaj kostove të masave dhe jo një kosto që lidhen në veçanti me KKP-në.</w:t>
      </w:r>
    </w:p>
    <w:p w14:paraId="35C6CA38" w14:textId="77777777" w:rsidR="00DD11E1" w:rsidRDefault="00DD11E1" w:rsidP="000F3E74">
      <w:pPr>
        <w:pStyle w:val="BodyText"/>
        <w:jc w:val="both"/>
        <w:rPr>
          <w:rFonts w:asciiTheme="majorHAnsi" w:hAnsiTheme="majorHAnsi" w:cstheme="majorHAnsi"/>
        </w:rPr>
      </w:pPr>
    </w:p>
    <w:p w14:paraId="07EE2D78" w14:textId="77777777" w:rsidR="00DD11E1" w:rsidRDefault="00DD11E1" w:rsidP="000F3E74">
      <w:pPr>
        <w:pStyle w:val="BodyText"/>
        <w:jc w:val="both"/>
        <w:rPr>
          <w:rFonts w:asciiTheme="majorHAnsi" w:hAnsiTheme="majorHAnsi" w:cstheme="majorHAnsi"/>
        </w:rPr>
      </w:pPr>
    </w:p>
    <w:p w14:paraId="451784B8" w14:textId="77777777" w:rsidR="00DD11E1" w:rsidRDefault="00DD11E1" w:rsidP="000F3E74">
      <w:pPr>
        <w:pStyle w:val="BodyText"/>
        <w:jc w:val="both"/>
        <w:rPr>
          <w:rFonts w:asciiTheme="majorHAnsi" w:hAnsiTheme="majorHAnsi" w:cstheme="majorHAnsi"/>
        </w:rPr>
      </w:pPr>
    </w:p>
    <w:p w14:paraId="42E322FF" w14:textId="77777777" w:rsidR="00DD11E1" w:rsidRDefault="00DD11E1" w:rsidP="000F3E74">
      <w:pPr>
        <w:pStyle w:val="BodyText"/>
        <w:jc w:val="both"/>
        <w:rPr>
          <w:rFonts w:asciiTheme="majorHAnsi" w:hAnsiTheme="majorHAnsi" w:cstheme="majorHAnsi"/>
        </w:rPr>
      </w:pPr>
    </w:p>
    <w:p w14:paraId="278EC9F6" w14:textId="77777777" w:rsidR="00DD11E1" w:rsidRDefault="00DD11E1" w:rsidP="000F3E74">
      <w:pPr>
        <w:pStyle w:val="BodyText"/>
        <w:jc w:val="both"/>
        <w:rPr>
          <w:rFonts w:asciiTheme="majorHAnsi" w:hAnsiTheme="majorHAnsi" w:cstheme="majorHAnsi"/>
        </w:rPr>
      </w:pPr>
    </w:p>
    <w:p w14:paraId="7E18395A" w14:textId="77777777" w:rsidR="00DD11E1" w:rsidRDefault="00DD11E1" w:rsidP="000F3E74">
      <w:pPr>
        <w:pStyle w:val="BodyText"/>
        <w:jc w:val="both"/>
        <w:rPr>
          <w:rFonts w:asciiTheme="majorHAnsi" w:hAnsiTheme="majorHAnsi" w:cstheme="majorHAnsi"/>
        </w:rPr>
      </w:pPr>
    </w:p>
    <w:p w14:paraId="663BDECA" w14:textId="77777777" w:rsidR="00DD11E1" w:rsidRDefault="00DD11E1" w:rsidP="000F3E74">
      <w:pPr>
        <w:pStyle w:val="BodyText"/>
        <w:jc w:val="both"/>
        <w:rPr>
          <w:rFonts w:asciiTheme="majorHAnsi" w:hAnsiTheme="majorHAnsi" w:cstheme="majorHAnsi"/>
        </w:rPr>
      </w:pPr>
    </w:p>
    <w:p w14:paraId="0FA47D05" w14:textId="77777777" w:rsidR="00DD11E1" w:rsidRDefault="00DD11E1" w:rsidP="000F3E74">
      <w:pPr>
        <w:pStyle w:val="BodyText"/>
        <w:jc w:val="both"/>
        <w:rPr>
          <w:rFonts w:asciiTheme="majorHAnsi" w:hAnsiTheme="majorHAnsi" w:cstheme="majorHAnsi"/>
        </w:rPr>
      </w:pPr>
    </w:p>
    <w:p w14:paraId="4A1A08A7" w14:textId="77777777" w:rsidR="00DD11E1" w:rsidRDefault="00DD11E1" w:rsidP="000F3E74">
      <w:pPr>
        <w:pStyle w:val="BodyText"/>
        <w:jc w:val="both"/>
        <w:rPr>
          <w:rFonts w:asciiTheme="majorHAnsi" w:hAnsiTheme="majorHAnsi" w:cstheme="majorHAnsi"/>
        </w:rPr>
      </w:pPr>
    </w:p>
    <w:p w14:paraId="64CDC415" w14:textId="77777777" w:rsidR="00DD11E1" w:rsidRDefault="00DD11E1" w:rsidP="000F3E74">
      <w:pPr>
        <w:pStyle w:val="BodyText"/>
        <w:jc w:val="both"/>
        <w:rPr>
          <w:rFonts w:asciiTheme="majorHAnsi" w:hAnsiTheme="majorHAnsi" w:cstheme="majorHAnsi"/>
        </w:rPr>
      </w:pPr>
    </w:p>
    <w:p w14:paraId="3C4CD956" w14:textId="77777777" w:rsidR="00DD11E1" w:rsidRDefault="00DD11E1" w:rsidP="000F3E74">
      <w:pPr>
        <w:pStyle w:val="BodyText"/>
        <w:jc w:val="both"/>
        <w:rPr>
          <w:rFonts w:asciiTheme="majorHAnsi" w:hAnsiTheme="majorHAnsi" w:cstheme="majorHAnsi"/>
        </w:rPr>
      </w:pPr>
    </w:p>
    <w:p w14:paraId="0753B49D" w14:textId="77777777" w:rsidR="00DD11E1" w:rsidRDefault="00DD11E1" w:rsidP="000F3E74">
      <w:pPr>
        <w:pStyle w:val="BodyText"/>
        <w:jc w:val="both"/>
        <w:rPr>
          <w:rFonts w:asciiTheme="majorHAnsi" w:hAnsiTheme="majorHAnsi" w:cstheme="majorHAnsi"/>
        </w:rPr>
      </w:pPr>
    </w:p>
    <w:p w14:paraId="33FB5AEC" w14:textId="77777777" w:rsidR="00DD11E1" w:rsidRDefault="00DD11E1" w:rsidP="000F3E74">
      <w:pPr>
        <w:pStyle w:val="BodyText"/>
        <w:jc w:val="both"/>
        <w:rPr>
          <w:rFonts w:asciiTheme="majorHAnsi" w:hAnsiTheme="majorHAnsi" w:cstheme="majorHAnsi"/>
        </w:rPr>
      </w:pPr>
    </w:p>
    <w:p w14:paraId="4B6AD515" w14:textId="77777777" w:rsidR="00DD11E1" w:rsidRDefault="00DD11E1" w:rsidP="000F3E74">
      <w:pPr>
        <w:pStyle w:val="BodyText"/>
        <w:jc w:val="both"/>
        <w:rPr>
          <w:rFonts w:asciiTheme="majorHAnsi" w:hAnsiTheme="majorHAnsi" w:cstheme="majorHAnsi"/>
        </w:rPr>
      </w:pPr>
    </w:p>
    <w:p w14:paraId="15B02391" w14:textId="77777777" w:rsidR="00DD11E1" w:rsidRDefault="00DD11E1" w:rsidP="000F3E74">
      <w:pPr>
        <w:pStyle w:val="BodyText"/>
        <w:jc w:val="both"/>
        <w:rPr>
          <w:rFonts w:asciiTheme="majorHAnsi" w:hAnsiTheme="majorHAnsi" w:cstheme="majorHAnsi"/>
        </w:rPr>
      </w:pPr>
    </w:p>
    <w:p w14:paraId="2179D7D4" w14:textId="77777777" w:rsidR="00DD11E1" w:rsidRDefault="00DD11E1" w:rsidP="000F3E74">
      <w:pPr>
        <w:pStyle w:val="BodyText"/>
        <w:jc w:val="both"/>
        <w:rPr>
          <w:rFonts w:asciiTheme="majorHAnsi" w:hAnsiTheme="majorHAnsi" w:cstheme="majorHAnsi"/>
        </w:rPr>
      </w:pPr>
    </w:p>
    <w:p w14:paraId="7464B8BD" w14:textId="77777777" w:rsidR="00DD11E1" w:rsidRDefault="00DD11E1" w:rsidP="000F3E74">
      <w:pPr>
        <w:pStyle w:val="BodyText"/>
        <w:jc w:val="both"/>
        <w:rPr>
          <w:rFonts w:asciiTheme="majorHAnsi" w:hAnsiTheme="majorHAnsi" w:cstheme="majorHAnsi"/>
        </w:rPr>
      </w:pPr>
    </w:p>
    <w:p w14:paraId="42279C13" w14:textId="77777777" w:rsidR="00DD11E1" w:rsidRDefault="00DD11E1" w:rsidP="000F3E74">
      <w:pPr>
        <w:pStyle w:val="BodyText"/>
        <w:jc w:val="both"/>
        <w:rPr>
          <w:rFonts w:asciiTheme="majorHAnsi" w:hAnsiTheme="majorHAnsi" w:cstheme="majorHAnsi"/>
        </w:rPr>
      </w:pPr>
    </w:p>
    <w:p w14:paraId="72C72325" w14:textId="77777777" w:rsidR="00DD11E1" w:rsidRDefault="00DD11E1" w:rsidP="000F3E74">
      <w:pPr>
        <w:pStyle w:val="BodyText"/>
        <w:jc w:val="both"/>
        <w:rPr>
          <w:rFonts w:asciiTheme="majorHAnsi" w:hAnsiTheme="majorHAnsi" w:cstheme="majorHAnsi"/>
        </w:rPr>
      </w:pPr>
    </w:p>
    <w:p w14:paraId="152BB5F5" w14:textId="77777777" w:rsidR="00DD11E1" w:rsidRDefault="00DD11E1" w:rsidP="000F3E74">
      <w:pPr>
        <w:pStyle w:val="BodyText"/>
        <w:jc w:val="both"/>
        <w:rPr>
          <w:rFonts w:asciiTheme="majorHAnsi" w:hAnsiTheme="majorHAnsi" w:cstheme="majorHAnsi"/>
        </w:rPr>
      </w:pPr>
    </w:p>
    <w:p w14:paraId="455B2C1F" w14:textId="77777777" w:rsidR="00DD11E1" w:rsidRDefault="00DD11E1" w:rsidP="000F3E74">
      <w:pPr>
        <w:pStyle w:val="BodyText"/>
        <w:jc w:val="both"/>
        <w:rPr>
          <w:rFonts w:asciiTheme="majorHAnsi" w:hAnsiTheme="majorHAnsi" w:cstheme="majorHAnsi"/>
        </w:rPr>
      </w:pPr>
    </w:p>
    <w:p w14:paraId="245B8B6F" w14:textId="77777777" w:rsidR="00DD11E1" w:rsidRDefault="00DD11E1" w:rsidP="000F3E74">
      <w:pPr>
        <w:pStyle w:val="BodyText"/>
        <w:jc w:val="both"/>
        <w:rPr>
          <w:rFonts w:asciiTheme="majorHAnsi" w:hAnsiTheme="majorHAnsi" w:cstheme="majorHAnsi"/>
        </w:rPr>
      </w:pPr>
    </w:p>
    <w:p w14:paraId="0A0E098A" w14:textId="77777777" w:rsidR="00DD11E1" w:rsidRDefault="00DD11E1" w:rsidP="000F3E74">
      <w:pPr>
        <w:pStyle w:val="BodyText"/>
        <w:jc w:val="both"/>
        <w:rPr>
          <w:rFonts w:asciiTheme="majorHAnsi" w:hAnsiTheme="majorHAnsi" w:cstheme="majorHAnsi"/>
        </w:rPr>
      </w:pPr>
    </w:p>
    <w:p w14:paraId="34C63D53" w14:textId="77777777" w:rsidR="00213150" w:rsidRPr="00420F06" w:rsidRDefault="00213150" w:rsidP="00213150">
      <w:pPr>
        <w:pStyle w:val="Heading1"/>
        <w:rPr>
          <w:rFonts w:asciiTheme="majorHAnsi" w:hAnsiTheme="majorHAnsi" w:cstheme="majorHAnsi"/>
        </w:rPr>
      </w:pPr>
      <w:bookmarkStart w:id="9" w:name="_Toc216778855"/>
      <w:r>
        <w:rPr>
          <w:rFonts w:asciiTheme="majorHAnsi" w:hAnsiTheme="majorHAnsi"/>
        </w:rPr>
        <w:lastRenderedPageBreak/>
        <w:t>Rrethanat kombëtare</w:t>
      </w:r>
      <w:bookmarkEnd w:id="9"/>
    </w:p>
    <w:p w14:paraId="34C63D55" w14:textId="77777777" w:rsidR="00A63BAC" w:rsidRPr="009D56D9" w:rsidRDefault="00A63BAC" w:rsidP="00A63BAC">
      <w:pPr>
        <w:pStyle w:val="BodyText"/>
        <w:jc w:val="both"/>
        <w:rPr>
          <w:rFonts w:asciiTheme="majorHAnsi" w:hAnsiTheme="majorHAnsi" w:cstheme="majorHAnsi"/>
        </w:rPr>
      </w:pPr>
      <w:r>
        <w:rPr>
          <w:rFonts w:asciiTheme="majorHAnsi" w:hAnsiTheme="majorHAnsi"/>
        </w:rPr>
        <w:t>Shqipëria ndodhet në cepin jugperëndimor të Gadishullit të Ballkanit dhe zë një sipërfaqe prej 28 748 kilometra katrorë, me një gjatësi maksimale prej rreth 340 km dhe gjerësi maksimale prej rreth 150 km. Pjesa më e madhe e vendit ka terren të thyer dhe malor. Maja më e lartë është Korabi, në zonën verilindore, me lartësi 2752 m. Shqipëria ka një vijë kufitare me gjatësi 1094 km, 30% e së cilës përbëhet nga bregdeti i detit Adriatik dhe detit Jon, si dhe nga disa liqene ndërkufitare, ndër të cilët vlen të përmendet liqeni i Shkodrës (më i madhi në Ballkan) dhe liqeni i Ohrit (më i thelli). Popullsia në Republikën e Shqipërisë, sipas censit të vitit 2023, ishte 2 402 113 banorë, një rënie me 420 000 banorë krahasuar me censin e vitit 2011. Dendësia e popullsisë së Shqipërisë është 83,6 banorë për kilometër katror dhe rënia e popullsisë ndjek tendencën e vëzhguar që nga viti 1990 që vjen si pasojë e fenomenit të emigracionit.</w:t>
      </w:r>
    </w:p>
    <w:p w14:paraId="34C63D56" w14:textId="77777777" w:rsidR="00A63BAC" w:rsidRPr="009D56D9" w:rsidRDefault="00A63BAC" w:rsidP="00A63BAC">
      <w:pPr>
        <w:pStyle w:val="BodyText"/>
        <w:jc w:val="both"/>
        <w:rPr>
          <w:rFonts w:asciiTheme="majorHAnsi" w:hAnsiTheme="majorHAnsi" w:cstheme="majorHAnsi"/>
          <w:b/>
          <w:bCs/>
        </w:rPr>
      </w:pPr>
      <w:r>
        <w:rPr>
          <w:rFonts w:asciiTheme="majorHAnsi" w:hAnsiTheme="majorHAnsi"/>
          <w:b/>
          <w:bCs/>
        </w:rPr>
        <w:t>Konteksti politik</w:t>
      </w:r>
    </w:p>
    <w:p w14:paraId="34C63D57" w14:textId="1CD2C458" w:rsidR="00A63BAC" w:rsidRPr="009D56D9" w:rsidRDefault="00A63BAC" w:rsidP="00A63BAC">
      <w:pPr>
        <w:pStyle w:val="BodyText"/>
        <w:jc w:val="both"/>
        <w:rPr>
          <w:rFonts w:asciiTheme="majorHAnsi" w:hAnsiTheme="majorHAnsi" w:cstheme="majorHAnsi"/>
        </w:rPr>
      </w:pPr>
      <w:r>
        <w:rPr>
          <w:rFonts w:asciiTheme="majorHAnsi" w:hAnsiTheme="majorHAnsi"/>
        </w:rPr>
        <w:t xml:space="preserve">Shqipëria aplikoi për anëtarësim në Bashkimin Evropian (BE) në prill të vitit 2009 dhe që nga qershori i vitit 2014 është vend zyrtar kandidat për anëtarësim. Anëtarësimi në BE është një objektiv kryesor politik dhe strategjik, i cili formëson zhvillimin ligjor, ekonomik dhe institucional të Shqipërisë. Më 25 mars 2022, Këshilli i BE-së vendosi të hapë negociatat për anëtarësim, vendim ky i cili u miratua nga Këshilli Evropian ditën pasuese (26 mars 2022). Shqipëria ka bërë progres të qëndrueshëm në rrugën e saj drejt anëtarësimit në BE. Integrimi në BE mbetet një prioritet kryesor i qeverisë shqiptare dhe procesi i negociatave shihet si një faktor nxitës thelbësor për avancimin e reformave që lidhen me BE-në sipas metodologjisë së rishikuar. Shqipëria miratoi pozicionin negociues për </w:t>
      </w:r>
      <w:r>
        <w:rPr>
          <w:rFonts w:asciiTheme="majorHAnsi" w:hAnsiTheme="majorHAnsi"/>
          <w:i/>
          <w:iCs/>
        </w:rPr>
        <w:t>grupkapitullin 4 të legjislacionit të BE-së: “Agjenda e gjelbër dhe konektiviteti i qëndrueshëm”</w:t>
      </w:r>
      <w:r>
        <w:rPr>
          <w:rFonts w:asciiTheme="majorHAnsi" w:hAnsiTheme="majorHAnsi"/>
        </w:rPr>
        <w:t xml:space="preserve"> dhe e dorëzoi atë zyrtarisht në KE në qershor të vitit 2025. Negociatat për grupkapitullin 4, i cili kombinon katër kapituj që lidhen me transportin (Kapitulli 14), energjinë (Kapitulli 15), rrjetet transevropiane (Kapitulli 21), ndryshimet mjedisore dhe klimatike (Kapitulli 27), u hapën zyrtarisht më 16 shtator 2025, pas Konferencës së 6-të Ndërqeveritare me Shqipërinë. </w:t>
      </w:r>
    </w:p>
    <w:p w14:paraId="34C63D58" w14:textId="3800CABB" w:rsidR="00A63BAC" w:rsidRPr="009D56D9" w:rsidRDefault="00A63BAC" w:rsidP="00A63BAC">
      <w:pPr>
        <w:pStyle w:val="BodyText"/>
        <w:jc w:val="both"/>
        <w:rPr>
          <w:rFonts w:asciiTheme="majorHAnsi" w:hAnsiTheme="majorHAnsi" w:cstheme="majorHAnsi"/>
        </w:rPr>
      </w:pPr>
      <w:r>
        <w:rPr>
          <w:rFonts w:asciiTheme="majorHAnsi" w:hAnsiTheme="majorHAnsi"/>
        </w:rPr>
        <w:t>Ndryshimet mjedisore dhe klimatike janë gjithashtu në fokus të qeverisë së re së formuar nga zgjedhjet e përgjithshme të vitit 2025. Në programin e qeverisë, një nga angazhimet për sektorin është: “</w:t>
      </w:r>
      <w:r>
        <w:rPr>
          <w:rFonts w:asciiTheme="majorHAnsi" w:hAnsiTheme="majorHAnsi"/>
          <w:i/>
          <w:iCs/>
        </w:rPr>
        <w:t>të harmonizohen politikat klimatike në të gjithë sektorët për të reduktuar shkarkimet dhe për t'u përshtatur ndaj ndryshimeve klimatike.</w:t>
      </w:r>
      <w:r>
        <w:rPr>
          <w:rFonts w:asciiTheme="majorHAnsi" w:hAnsiTheme="majorHAnsi"/>
        </w:rPr>
        <w:t>” Ky harmonizim është mbuluar pjesërisht përmes SKZHIE III, vizioni i së cilës përshkruan "një ekonomi të fortë dhe të qëndrueshme për Shqipërinë përmes një rruge me zero shkarkime dhe rritje ekonomike të gjelbër".</w:t>
      </w:r>
    </w:p>
    <w:p w14:paraId="34C63D59" w14:textId="59732780" w:rsidR="00A63BAC" w:rsidRDefault="00A63BAC" w:rsidP="00A63BAC">
      <w:pPr>
        <w:pStyle w:val="BodyText"/>
        <w:jc w:val="both"/>
        <w:rPr>
          <w:rFonts w:asciiTheme="majorHAnsi" w:hAnsiTheme="majorHAnsi"/>
        </w:rPr>
      </w:pPr>
      <w:r>
        <w:rPr>
          <w:rFonts w:asciiTheme="majorHAnsi" w:hAnsiTheme="majorHAnsi"/>
        </w:rPr>
        <w:t>Bashkëpunimi rajonal sipas Procesit të Berlinit dhe miratimi nga ana e Shqipërisë i Deklaratës së Sofjes për Agjendën e Gjelbër për Ballkanin Perëndimor kanë forcuar më tej angazhimin e saj për një të ardhme neutrale ndaj karbonit brenda vitit 2050. Shqipëria është e angazhuar në zbatimin e Planit të Veprimit për Agjendën e Gjelbër dhe është përfshirë në mënyrë aktive në përditësimin më të fundit të këtij plani. Gjithashtu, Shqipëria është anëtare në shumë marrëveshjeve mjedisore shumëpalëshe dhe anëtare aktive në Konferencën e Palëve, si dhe po punon drejt përmbushjes së këtyre angazhimeve.</w:t>
      </w:r>
    </w:p>
    <w:p w14:paraId="24C30ABC" w14:textId="77777777" w:rsidR="00DD11E1" w:rsidRDefault="00DD11E1" w:rsidP="00A63BAC">
      <w:pPr>
        <w:pStyle w:val="BodyText"/>
        <w:jc w:val="both"/>
        <w:rPr>
          <w:rFonts w:asciiTheme="majorHAnsi" w:hAnsiTheme="majorHAnsi"/>
        </w:rPr>
      </w:pPr>
    </w:p>
    <w:p w14:paraId="5D968419" w14:textId="77777777" w:rsidR="00DD11E1" w:rsidRPr="009D56D9" w:rsidRDefault="00DD11E1" w:rsidP="00A63BAC">
      <w:pPr>
        <w:pStyle w:val="BodyText"/>
        <w:jc w:val="both"/>
        <w:rPr>
          <w:rFonts w:asciiTheme="majorHAnsi" w:hAnsiTheme="majorHAnsi" w:cstheme="majorHAnsi"/>
        </w:rPr>
      </w:pPr>
    </w:p>
    <w:p w14:paraId="34C63D5B" w14:textId="77777777" w:rsidR="00A63BAC" w:rsidRPr="009D56D9" w:rsidRDefault="00A63BAC" w:rsidP="00A63BAC">
      <w:pPr>
        <w:pStyle w:val="BodyText"/>
        <w:jc w:val="both"/>
        <w:rPr>
          <w:rFonts w:asciiTheme="majorHAnsi" w:hAnsiTheme="majorHAnsi" w:cstheme="majorHAnsi"/>
          <w:b/>
          <w:bCs/>
        </w:rPr>
      </w:pPr>
      <w:r>
        <w:rPr>
          <w:rFonts w:asciiTheme="majorHAnsi" w:hAnsiTheme="majorHAnsi"/>
          <w:b/>
          <w:bCs/>
        </w:rPr>
        <w:lastRenderedPageBreak/>
        <w:t>Konteksti ekonomik</w:t>
      </w:r>
    </w:p>
    <w:p w14:paraId="34C63D5C" w14:textId="56CA057E" w:rsidR="00A63BAC" w:rsidRPr="009D56D9" w:rsidRDefault="00A63BAC" w:rsidP="00A63BAC">
      <w:pPr>
        <w:pStyle w:val="BodyText"/>
        <w:jc w:val="both"/>
        <w:rPr>
          <w:rFonts w:asciiTheme="majorHAnsi" w:hAnsiTheme="majorHAnsi" w:cstheme="majorHAnsi"/>
        </w:rPr>
      </w:pPr>
      <w:r>
        <w:rPr>
          <w:rFonts w:asciiTheme="majorHAnsi" w:hAnsiTheme="majorHAnsi"/>
        </w:rPr>
        <w:t>Ekonomia e Shqipërisë ka regjistruar rritje të qëndrueshme. Në vitin 2024, rritja ishte rreth 4% ndërsa projeksionet për vitet e ardhshme janë disi më të ulëta, por megjithatë pozitive (rreth 3–3,5%). Ekonomia dominohet nga sektori i shërbimeve, ndërsa sektorët kyç janë turizmi, tregtia, transporti dhe pasuritë e paluajtshme. Vlen të theksohet se bujqësia mbetet e rëndësishme, sidomos për punësimin, por kontributi i saj relativ është në rënie. Deficiti ka njohur luhatje; borxhi publik është në nivele mesatare, rreth 55</w:t>
      </w:r>
      <w:r>
        <w:rPr>
          <w:rFonts w:ascii="Cambria Math" w:hAnsi="Cambria Math"/>
        </w:rPr>
        <w:t>‑</w:t>
      </w:r>
      <w:r>
        <w:rPr>
          <w:rFonts w:asciiTheme="majorHAnsi" w:hAnsiTheme="majorHAnsi"/>
        </w:rPr>
        <w:t>60% e PBB-së në vitet e fundit (INSTAT, 2025).</w:t>
      </w:r>
    </w:p>
    <w:p w14:paraId="34C63D5E" w14:textId="3A368489" w:rsidR="00A63BAC" w:rsidRPr="009D56D9" w:rsidRDefault="00A864B2" w:rsidP="00A63BAC">
      <w:pPr>
        <w:pStyle w:val="BodyText"/>
        <w:jc w:val="both"/>
        <w:rPr>
          <w:rFonts w:asciiTheme="majorHAnsi" w:hAnsiTheme="majorHAnsi" w:cstheme="majorHAnsi"/>
        </w:rPr>
      </w:pPr>
      <w:r>
        <w:rPr>
          <w:rFonts w:asciiTheme="majorHAnsi" w:hAnsiTheme="majorHAnsi"/>
        </w:rPr>
        <w:t xml:space="preserve">Zbatimi i politikave për zbutjen të Shqipërisë, në kuadër të PKEK-së dhe KKP-së 3.0, pritet të gjenerojë përfitime të konsiderueshme makroekonomike dhe sociale. Investimet në efiçencën e energjisë (EE) dhe energjinë e rinovueshme (ER) jo vetëm që kontribuojnë në reduktimin e shkarkimeve të gazeve me efekt serrë, por prodhojnë gjithashtu efekte pozitive në të ardhurat familjare, në punësim dhe në financat publike. Masat për efiçencën e energjisë në ndërtesa dhe pajisje mund të reduktojnë kostot energjetike, duke rritur kështu të ardhurat familjare të disponueshme dhe duke ulur varfërinë energjetike, sidomos për grupet me të ardhura të ulëta. Këto përmirësime rrisin standardet e jetesës dhe stimulojnë veprimtarinë ekonomike në nivel vendor përmes shpenzimeve më të larta të konsumatorëve. </w:t>
      </w:r>
      <w:r>
        <w:rPr>
          <w:rFonts w:asciiTheme="majorHAnsi" w:hAnsiTheme="majorHAnsi"/>
        </w:rPr>
        <w:br/>
        <w:t>Për sa i përket buxhetit të shtetit, masat për EE-në dhe ER-në mund të kërkojnë fillimisht subvencione ose stimuj fiskalë, por me kalimin e kohës ato përmirësojnë ekuilibrat fiskalë përmes rritjes së të ardhurave nga tatimi mbi të ardhurat, nga vendet e punës së krijuara rishtazi dhe nga reduktimi i shpenzimeve publike për energjinë. Efektet e punësimit janë veçanërisht pozitive: programet për rinovimin e ndërtesave dhe përdorimi i energjisë së rinovueshme janë projektuar që të gjenerojnë mijëra vende pune "të gjelbra" në ndërtim, prodhim dhe mirëmbajtje, duke kompensuar nivelin e ulët të humbjes së vendeve të punës në sektorët që lidhen me energjinë nga lëndët fosile. Për shembull, sipas skenarëve të PKEK-së, investimet në ER dhe EE mund të krijojnë deri në 12 000 vende pune me kohë të plotë brenda vitit 2030. Për më tepër, zgjerimi i kapaciteteve të energjisë diellore fotovoltaike (FV) dhe eolike pritet të shtojë mbi 3000 vende të reja pune gjatë fazave të instalimit dhe përdorimit. Këto masa mbështesin bashkërisht rritjen e PBB-së, stimulojnë novacionin dhe forcojnë tranzicionin e Shqipërisë drejt një ekonomie me shkarkime të ulëta, të qëndrueshme dhe përfshirëse, dhe njëkohësisht janë në përputhje me objektivat e BE-së për klimën dhe energjinë.</w:t>
      </w:r>
    </w:p>
    <w:p w14:paraId="34C63D5F" w14:textId="77777777" w:rsidR="00A63BAC" w:rsidRPr="009D56D9" w:rsidRDefault="00A63BAC" w:rsidP="00A63BAC">
      <w:pPr>
        <w:pStyle w:val="BodyText"/>
        <w:jc w:val="both"/>
        <w:rPr>
          <w:rFonts w:asciiTheme="majorHAnsi" w:hAnsiTheme="majorHAnsi" w:cstheme="majorHAnsi"/>
          <w:b/>
          <w:bCs/>
        </w:rPr>
      </w:pPr>
      <w:r>
        <w:rPr>
          <w:rFonts w:asciiTheme="majorHAnsi" w:hAnsiTheme="majorHAnsi"/>
          <w:b/>
          <w:bCs/>
        </w:rPr>
        <w:t>Konteksti mjedisor</w:t>
      </w:r>
    </w:p>
    <w:p w14:paraId="34C63D60" w14:textId="3745DD08" w:rsidR="00A63BAC" w:rsidRPr="009D56D9" w:rsidRDefault="00A63BAC" w:rsidP="00A63BAC">
      <w:pPr>
        <w:pStyle w:val="BodyText"/>
        <w:jc w:val="both"/>
        <w:rPr>
          <w:rFonts w:asciiTheme="majorHAnsi" w:hAnsiTheme="majorHAnsi" w:cstheme="majorHAnsi"/>
        </w:rPr>
      </w:pPr>
      <w:r>
        <w:rPr>
          <w:rFonts w:asciiTheme="majorHAnsi" w:hAnsiTheme="majorHAnsi"/>
        </w:rPr>
        <w:t xml:space="preserve">Kushtetuta e Shqipërisë e konsideron zhvillimin e qëndrueshëm të turizmit dhe mbrojtjen e mjedisit si një nga objektivat parësore të vendit. Mbrojtja e mjedisit dhe ruajtja e natyrës njihen si vlera themelore kushtetuese, të cilat çdo individ ka përgjegjësinë t'i mbrojë dhe përmirësojë. </w:t>
      </w:r>
    </w:p>
    <w:p w14:paraId="34C63D61" w14:textId="6AC247C0" w:rsidR="00A63BAC" w:rsidRPr="009D56D9" w:rsidRDefault="00A63BAC" w:rsidP="00A63BAC">
      <w:pPr>
        <w:pStyle w:val="BodyText"/>
        <w:jc w:val="both"/>
        <w:rPr>
          <w:rFonts w:asciiTheme="majorHAnsi" w:hAnsiTheme="majorHAnsi" w:cstheme="majorHAnsi"/>
        </w:rPr>
      </w:pPr>
      <w:r>
        <w:rPr>
          <w:rFonts w:asciiTheme="majorHAnsi" w:hAnsiTheme="majorHAnsi"/>
        </w:rPr>
        <w:t>Që nga viti 2002, vendi ka filluar procesin e harmonizimit të legjislacionit mjedisor me legjislacionin e BE-së dhe janë miratuar ligje të reja për mjedisin, mbrojtjen e natyrës, burimet ujore, cilësinë e ajrit dhe menaxhimin e mbetjeve. Ka ligje specifike që rregullojnë procesin e vlerësimit të ndikimit në mjedis (VNM) dhe vlerësimit strategjik mjedisor (VSM), si dhe për kontrollin e integruar të ndotjes (KIN), menaxhimin e rrezikut dhe kimikatet.</w:t>
      </w:r>
    </w:p>
    <w:p w14:paraId="34C63D62" w14:textId="77777777" w:rsidR="00A63BAC" w:rsidRPr="009D56D9" w:rsidRDefault="00A63BAC" w:rsidP="00A63BAC">
      <w:pPr>
        <w:pStyle w:val="BodyText"/>
        <w:jc w:val="both"/>
        <w:rPr>
          <w:rFonts w:asciiTheme="majorHAnsi" w:hAnsiTheme="majorHAnsi" w:cstheme="majorHAnsi"/>
        </w:rPr>
      </w:pPr>
      <w:r>
        <w:rPr>
          <w:rFonts w:asciiTheme="majorHAnsi" w:hAnsiTheme="majorHAnsi"/>
        </w:rPr>
        <w:t xml:space="preserve">Ndonëse Shqipëria mund të konsiderohet si një vend që ka hedhur themelet për progres mjedisor dhe mbrojtje të mjedisit, sfida më e madhe është zbatimi i legjislacionit, në veçanti lidhur me </w:t>
      </w:r>
      <w:r>
        <w:rPr>
          <w:rFonts w:asciiTheme="majorHAnsi" w:hAnsiTheme="majorHAnsi"/>
        </w:rPr>
        <w:lastRenderedPageBreak/>
        <w:t>menaxhimin e ujërave dhe të mbetjeve, mbrojtjen e natyrës, energjinë, ndotjen industriale, menaxhimin e rrezikut, si dhe me zbutjen dhe përshtatjen ndaj ndryshimeve klimatike. Për më tepër, kapacitetet administrative janë të pamjaftueshme në nivel qendror dhe vendor, sidomos për sa i përket kualifikimeve dhe burimeve njerëzore në dispozicion për implementimin dhe zbatimin e legjislacionit të BE-së për mjedisin, energjinë dhe ndryshimet klimatike.</w:t>
      </w:r>
    </w:p>
    <w:p w14:paraId="34C63D63" w14:textId="77777777" w:rsidR="00A63BAC" w:rsidRPr="009D56D9" w:rsidRDefault="00A63BAC" w:rsidP="00A63BAC">
      <w:pPr>
        <w:pStyle w:val="BodyText"/>
        <w:jc w:val="both"/>
        <w:rPr>
          <w:rFonts w:asciiTheme="majorHAnsi" w:hAnsiTheme="majorHAnsi" w:cstheme="majorHAnsi"/>
          <w:b/>
          <w:bCs/>
        </w:rPr>
      </w:pPr>
      <w:r>
        <w:rPr>
          <w:rFonts w:asciiTheme="majorHAnsi" w:hAnsiTheme="majorHAnsi"/>
          <w:b/>
          <w:bCs/>
        </w:rPr>
        <w:t>Konteksti i politikave për klimën dhe energjinë</w:t>
      </w:r>
    </w:p>
    <w:p w14:paraId="34C63D64" w14:textId="27A72718" w:rsidR="00A63BAC" w:rsidRPr="009D56D9" w:rsidRDefault="00A63BAC" w:rsidP="0006476B">
      <w:pPr>
        <w:pStyle w:val="BodyText"/>
        <w:jc w:val="both"/>
        <w:rPr>
          <w:rFonts w:asciiTheme="majorHAnsi" w:hAnsiTheme="majorHAnsi" w:cstheme="majorHAnsi"/>
        </w:rPr>
      </w:pPr>
      <w:r>
        <w:rPr>
          <w:rFonts w:asciiTheme="majorHAnsi" w:hAnsiTheme="majorHAnsi"/>
        </w:rPr>
        <w:t>Politikat kombëtare për klimën dhe energjinë luajnë një rol qendror në adresimin e sfidave mjedisore, duke u fokusuar në reduktimin e GES-ve, në zgjerimin e energjisë së rinovueshme dhe në efiçencën e energjisë. Këto masa shoqërohen me përpjekjet në bujqësi, transport dhe ruajtjen e biodiversitetit. Shqipëria synon të ekuilibrojë zhvillimin e energjisë me mbrojtjen e ekosistemit përmes integrimit të aspekteve të ndikimit në mjedis në planifikimin e infrastrukturës. Veprimet për zbutjen dhe përshtatjen ndaj ndryshimeve klimatike mbështesin shëndetin e tokës, bujqësinë, biodiversitetin dhe restaurimin e habitateve natyrore.</w:t>
      </w:r>
    </w:p>
    <w:p w14:paraId="34C63D65" w14:textId="77777777" w:rsidR="00D43717" w:rsidRPr="009D56D9" w:rsidRDefault="00D43717" w:rsidP="0006476B">
      <w:pPr>
        <w:pStyle w:val="BodyText"/>
        <w:jc w:val="both"/>
        <w:rPr>
          <w:rFonts w:asciiTheme="majorHAnsi" w:hAnsiTheme="majorHAnsi" w:cstheme="majorHAnsi"/>
        </w:rPr>
      </w:pPr>
      <w:r>
        <w:rPr>
          <w:rFonts w:asciiTheme="majorHAnsi" w:hAnsiTheme="majorHAnsi"/>
        </w:rPr>
        <w:t>Me nënshkrimin e Marrëveshjes së Parisit nga qeveria (Nju-Jork, 22 prill 2016), Shqipëria hyri në një epokë të re në procesin e politikave ndërkombëtare për klimën, në të cilën të gjitha palët synojnë bashkërisht ta kufizojnë rritjen globale të temperaturës deri në 2°C mbi nivelet paraindustriale.</w:t>
      </w:r>
    </w:p>
    <w:p w14:paraId="34C63D66" w14:textId="4DE5B136" w:rsidR="00A7240C" w:rsidRPr="009D56D9" w:rsidRDefault="00A7240C" w:rsidP="0006476B">
      <w:pPr>
        <w:pStyle w:val="BodyText"/>
        <w:jc w:val="both"/>
        <w:rPr>
          <w:rFonts w:asciiTheme="majorHAnsi" w:hAnsiTheme="majorHAnsi" w:cstheme="majorHAnsi"/>
        </w:rPr>
      </w:pPr>
      <w:r>
        <w:rPr>
          <w:rFonts w:asciiTheme="majorHAnsi" w:hAnsiTheme="majorHAnsi"/>
        </w:rPr>
        <w:t>Strategjia Kombëtare e Energjisë 2018-2030, Planet Kombëtare për Energjinë dhe Klimën (PKEK) 2020-2030 dhe Strategjia Kombëtar për Ndryshimet Klimatike që përfshin Planin e Veprimit të Zbutjes, si dhe Strategjia Kombëtare e Transportit, kanë përcaktuar objektiva dhe synime për rritjen e sigurisë së furnizimit përmes investimeve në sektorin e energjisë elektrike, penetrimit të gazit në tregun shqiptar dhe rritjes së përqindjes së BRE-ve dhe efiçencës së energjisë, pasuar nga reduktimi i shkarkimeve të GES-ve.</w:t>
      </w:r>
    </w:p>
    <w:p w14:paraId="34C63D67" w14:textId="77777777" w:rsidR="00A63BAC" w:rsidRPr="009D56D9" w:rsidRDefault="00A63BAC" w:rsidP="0006476B">
      <w:pPr>
        <w:pStyle w:val="BodyText"/>
        <w:jc w:val="both"/>
        <w:rPr>
          <w:rFonts w:asciiTheme="majorHAnsi" w:hAnsiTheme="majorHAnsi" w:cstheme="majorHAnsi"/>
          <w:b/>
          <w:bCs/>
        </w:rPr>
      </w:pPr>
      <w:r>
        <w:rPr>
          <w:rFonts w:asciiTheme="majorHAnsi" w:hAnsiTheme="majorHAnsi"/>
          <w:b/>
          <w:bCs/>
        </w:rPr>
        <w:t>Konteksti social</w:t>
      </w:r>
    </w:p>
    <w:p w14:paraId="34C63D68" w14:textId="77777777" w:rsidR="00182CEF" w:rsidRPr="00182CEF" w:rsidRDefault="00182CEF" w:rsidP="0006476B">
      <w:pPr>
        <w:pStyle w:val="BodyText"/>
        <w:jc w:val="both"/>
        <w:rPr>
          <w:rFonts w:asciiTheme="majorHAnsi" w:hAnsiTheme="majorHAnsi" w:cstheme="majorHAnsi"/>
        </w:rPr>
      </w:pPr>
      <w:r>
        <w:rPr>
          <w:rFonts w:asciiTheme="majorHAnsi" w:hAnsiTheme="majorHAnsi"/>
        </w:rPr>
        <w:t>Politikat për klimën dhe energjinë janë projektuar për të qenë gjithëpërfshirëse nga ana sociale, duke synuar përmirësimin e mirëqenies, kapitalit dhe aksesit në burimet e energjisë, veçanërisht për popullatat e cenueshme dhe të margjinalizuara, duke përfshirë gratë, të rinjtë dhe komunitetet rurale. Investimet e gjelbra në ndërtim, energji të rinovueshme dhe në efiçencën e energjisë jo vetëm që po reduktojnë shkarkimet, por gjithashtu po krijojnë vende pune të denja dhe mundësi për jetesë të denjë, si dhe rritje të pjesëmarrjes së grave dhe profesionistëve të rinj në sektorët e gjelbër në zhvillim. Këto investime kontribuojnë në uljen e varfërisë, lëvizshmërinë sociale dhe në zhvillimin me përgjegjshmëri gjinore.</w:t>
      </w:r>
    </w:p>
    <w:p w14:paraId="34C63D69" w14:textId="77777777" w:rsidR="00182CEF" w:rsidRPr="00182CEF" w:rsidRDefault="00182CEF" w:rsidP="0006476B">
      <w:pPr>
        <w:pStyle w:val="BodyText"/>
        <w:jc w:val="both"/>
        <w:rPr>
          <w:rFonts w:asciiTheme="majorHAnsi" w:hAnsiTheme="majorHAnsi" w:cstheme="majorHAnsi"/>
        </w:rPr>
      </w:pPr>
      <w:r>
        <w:rPr>
          <w:rFonts w:asciiTheme="majorHAnsi" w:hAnsiTheme="majorHAnsi"/>
        </w:rPr>
        <w:t>Është vënë theksi tek aspekte si pjesëmarrja e publikut dhe angazhimi i grupeve të interesit për të garantuar që tranzicionet të jenë transparente, të barabarta dhe të pranueshme nga ana sociale, duke u dhënë zë shoqërisë civile, komuniteteve vendore dhe grupeve të nënpërfaqësuara. Programet e edukimit, trajnimit dhe ndërgjegjësimit promovojnë më tej menaxhimin e kujdesshëm mjedisor, përfshirjen e të rinjve dhe ngritjen e kapaciteteve për veprimet përfshirëse për klimën.</w:t>
      </w:r>
    </w:p>
    <w:p w14:paraId="34C63D6C" w14:textId="2BB1051A" w:rsidR="00A7240C" w:rsidRPr="008A0F87" w:rsidRDefault="00182CEF" w:rsidP="0006476B">
      <w:pPr>
        <w:pStyle w:val="BodyText"/>
        <w:jc w:val="both"/>
        <w:rPr>
          <w:rFonts w:asciiTheme="majorHAnsi" w:hAnsiTheme="majorHAnsi" w:cstheme="majorHAnsi"/>
        </w:rPr>
      </w:pPr>
      <w:r>
        <w:rPr>
          <w:rFonts w:asciiTheme="majorHAnsi" w:hAnsiTheme="majorHAnsi"/>
        </w:rPr>
        <w:t xml:space="preserve">Në veçanti, objektivat kombëtare për efiçencën e energjisë synojnë të reduktojnë konsumin e energjisë për çdo njësi prodhimi, çka mbështet aksesin në energji të përballueshme dhe redukton </w:t>
      </w:r>
      <w:r>
        <w:rPr>
          <w:rFonts w:asciiTheme="majorHAnsi" w:hAnsiTheme="majorHAnsi"/>
        </w:rPr>
        <w:lastRenderedPageBreak/>
        <w:t>varfërinë energjetike për familjet me të ardhura të ulëta. Përmes këtyre masave, tranzicioni i Shqipërisë lidhur me klimën dhe energjinë synon të ekuilibrojë objektivat mjedisorë me drejtësinë sociale dhe mirëqenien, duke përmirësuar cilësinë e jetës dhe qëndrueshmërinë e të gjithë qytetarëve, pa lënë askënd pas.</w:t>
      </w:r>
    </w:p>
    <w:p w14:paraId="4D18D219" w14:textId="29A70E06" w:rsidR="001C4269" w:rsidRPr="00E061D1" w:rsidRDefault="001C4269" w:rsidP="001C4269">
      <w:pPr>
        <w:pStyle w:val="BodyText"/>
        <w:jc w:val="both"/>
        <w:rPr>
          <w:rFonts w:asciiTheme="majorHAnsi" w:hAnsiTheme="majorHAnsi"/>
          <w:b/>
          <w:bCs/>
        </w:rPr>
      </w:pPr>
      <w:r w:rsidRPr="0057193B">
        <w:rPr>
          <w:rFonts w:asciiTheme="majorHAnsi" w:hAnsiTheme="majorHAnsi"/>
          <w:b/>
          <w:bCs/>
        </w:rPr>
        <w:t xml:space="preserve">Evolucioni i </w:t>
      </w:r>
      <w:r w:rsidRPr="00E061D1">
        <w:rPr>
          <w:rFonts w:asciiTheme="majorHAnsi" w:hAnsiTheme="majorHAnsi"/>
          <w:b/>
          <w:bCs/>
        </w:rPr>
        <w:t>shkarkimeve</w:t>
      </w:r>
      <w:r w:rsidRPr="0057193B">
        <w:rPr>
          <w:rFonts w:asciiTheme="majorHAnsi" w:hAnsiTheme="majorHAnsi"/>
          <w:b/>
          <w:bCs/>
        </w:rPr>
        <w:t xml:space="preserve"> të CO₂, CH₄, N₂O dhe HFC-ve me kalimin e kohës </w:t>
      </w:r>
    </w:p>
    <w:p w14:paraId="68EA739E" w14:textId="7150C298" w:rsidR="001C4269" w:rsidRPr="00E061D1" w:rsidRDefault="001C4269" w:rsidP="001C4269">
      <w:pPr>
        <w:pStyle w:val="BodyText"/>
        <w:jc w:val="both"/>
        <w:rPr>
          <w:rFonts w:asciiTheme="majorHAnsi" w:hAnsiTheme="majorHAnsi" w:cstheme="majorHAnsi"/>
        </w:rPr>
      </w:pPr>
      <w:r w:rsidRPr="00E061D1">
        <w:rPr>
          <w:rFonts w:asciiTheme="majorHAnsi" w:hAnsiTheme="majorHAnsi" w:cstheme="majorHAnsi"/>
        </w:rPr>
        <w:t>Baza e t</w:t>
      </w:r>
      <w:r w:rsidR="00DF05F7">
        <w:rPr>
          <w:rFonts w:asciiTheme="majorHAnsi" w:hAnsiTheme="majorHAnsi" w:cstheme="majorHAnsi"/>
        </w:rPr>
        <w:t>ë</w:t>
      </w:r>
      <w:r w:rsidRPr="00E061D1">
        <w:rPr>
          <w:rFonts w:asciiTheme="majorHAnsi" w:hAnsiTheme="majorHAnsi" w:cstheme="majorHAnsi"/>
        </w:rPr>
        <w:t xml:space="preserve"> dh</w:t>
      </w:r>
      <w:r w:rsidR="00DF05F7">
        <w:rPr>
          <w:rFonts w:asciiTheme="majorHAnsi" w:hAnsiTheme="majorHAnsi" w:cstheme="majorHAnsi"/>
        </w:rPr>
        <w:t>ë</w:t>
      </w:r>
      <w:r w:rsidRPr="00E061D1">
        <w:rPr>
          <w:rFonts w:asciiTheme="majorHAnsi" w:hAnsiTheme="majorHAnsi" w:cstheme="majorHAnsi"/>
        </w:rPr>
        <w:t>nave</w:t>
      </w:r>
      <w:r w:rsidRPr="0057193B">
        <w:rPr>
          <w:rFonts w:asciiTheme="majorHAnsi" w:hAnsiTheme="majorHAnsi" w:cstheme="majorHAnsi"/>
        </w:rPr>
        <w:t xml:space="preserve"> përmbledh </w:t>
      </w:r>
      <w:r w:rsidRPr="00E061D1">
        <w:rPr>
          <w:rFonts w:asciiTheme="majorHAnsi" w:hAnsiTheme="majorHAnsi"/>
        </w:rPr>
        <w:t xml:space="preserve">shkarkimet e gazeve me efekt serrë (GES) </w:t>
      </w:r>
      <w:r w:rsidRPr="0057193B">
        <w:rPr>
          <w:rFonts w:asciiTheme="majorHAnsi" w:hAnsiTheme="majorHAnsi" w:cstheme="majorHAnsi"/>
        </w:rPr>
        <w:t>të Shqipërisë të shprehura në kilotonë ekuivalent CO₂ (kt CO₂-eq) për periudhën nga viti 1990 deri në vitin 2022. Gazrat e mbuluar janë d</w:t>
      </w:r>
      <w:r w:rsidRPr="00E061D1">
        <w:rPr>
          <w:rFonts w:asciiTheme="majorHAnsi" w:hAnsiTheme="majorHAnsi" w:cstheme="majorHAnsi"/>
        </w:rPr>
        <w:t>y</w:t>
      </w:r>
      <w:r w:rsidRPr="0057193B">
        <w:rPr>
          <w:rFonts w:asciiTheme="majorHAnsi" w:hAnsiTheme="majorHAnsi" w:cstheme="majorHAnsi"/>
        </w:rPr>
        <w:t xml:space="preserve">oksidi i karbonit (CO₂), metani (CH₄), oksidi i azotit (N₂O) dhe hidrofluorokarbonet (HFC), të paraqitura si </w:t>
      </w:r>
      <w:r w:rsidRPr="0057193B">
        <w:rPr>
          <w:rFonts w:asciiTheme="majorHAnsi" w:hAnsiTheme="majorHAnsi" w:cstheme="majorHAnsi"/>
          <w:u w:val="single"/>
        </w:rPr>
        <w:t>me</w:t>
      </w:r>
      <w:r w:rsidRPr="0057193B">
        <w:rPr>
          <w:rFonts w:asciiTheme="majorHAnsi" w:hAnsiTheme="majorHAnsi" w:cstheme="majorHAnsi"/>
        </w:rPr>
        <w:t xml:space="preserve"> edhe </w:t>
      </w:r>
      <w:r w:rsidRPr="0057193B">
        <w:rPr>
          <w:rFonts w:asciiTheme="majorHAnsi" w:hAnsiTheme="majorHAnsi" w:cstheme="majorHAnsi"/>
          <w:u w:val="single"/>
        </w:rPr>
        <w:t>pa</w:t>
      </w:r>
      <w:r w:rsidRPr="0057193B">
        <w:rPr>
          <w:rFonts w:asciiTheme="majorHAnsi" w:hAnsiTheme="majorHAnsi" w:cstheme="majorHAnsi"/>
        </w:rPr>
        <w:t xml:space="preserve"> </w:t>
      </w:r>
      <w:r w:rsidRPr="00E061D1">
        <w:rPr>
          <w:rFonts w:asciiTheme="majorHAnsi" w:hAnsiTheme="majorHAnsi" w:cstheme="majorHAnsi"/>
        </w:rPr>
        <w:t xml:space="preserve">sektorin e </w:t>
      </w:r>
      <w:r w:rsidRPr="00E061D1">
        <w:rPr>
          <w:rFonts w:asciiTheme="majorHAnsi" w:hAnsiTheme="majorHAnsi" w:cstheme="majorHAnsi"/>
        </w:rPr>
        <w:t>PTNPTP/LULUCF</w:t>
      </w:r>
      <w:r w:rsidRPr="00E061D1">
        <w:rPr>
          <w:rFonts w:asciiTheme="majorHAnsi" w:hAnsiTheme="majorHAnsi" w:cstheme="majorHAnsi"/>
        </w:rPr>
        <w:t xml:space="preserve"> (p</w:t>
      </w:r>
      <w:r w:rsidRPr="00E061D1">
        <w:rPr>
          <w:rFonts w:asciiTheme="majorHAnsi" w:hAnsiTheme="majorHAnsi" w:cstheme="majorHAnsi"/>
        </w:rPr>
        <w:t>ërdorimi i tokës, ndryshimi i përdorimit të tokës dhe pyjet</w:t>
      </w:r>
      <w:r w:rsidRPr="00E061D1">
        <w:rPr>
          <w:rFonts w:asciiTheme="majorHAnsi" w:hAnsiTheme="majorHAnsi" w:cstheme="majorHAnsi"/>
        </w:rPr>
        <w:t>)</w:t>
      </w:r>
      <w:r w:rsidRPr="0057193B">
        <w:rPr>
          <w:rFonts w:asciiTheme="majorHAnsi" w:hAnsiTheme="majorHAnsi" w:cstheme="majorHAnsi"/>
        </w:rPr>
        <w:t xml:space="preserve">. Çdo gaz shfaq sjellje të dallueshme që pasqyron strukturën e ekonomisë së Shqipërisë, tranzicionin e saj energjetik, intensitetin bujqësor dhe sistemet e menaxhimit të mbetjeve. </w:t>
      </w:r>
    </w:p>
    <w:p w14:paraId="26176AAF" w14:textId="77777777" w:rsidR="005374E3" w:rsidRPr="00E061D1" w:rsidRDefault="001C4269" w:rsidP="001C4269">
      <w:pPr>
        <w:pStyle w:val="BodyText"/>
        <w:jc w:val="both"/>
        <w:rPr>
          <w:rFonts w:asciiTheme="majorHAnsi" w:hAnsiTheme="majorHAnsi" w:cstheme="majorHAnsi"/>
        </w:rPr>
      </w:pPr>
      <w:r w:rsidRPr="0057193B">
        <w:rPr>
          <w:rFonts w:asciiTheme="majorHAnsi" w:hAnsiTheme="majorHAnsi" w:cstheme="majorHAnsi"/>
        </w:rPr>
        <w:t xml:space="preserve">Në vitin 1990, </w:t>
      </w:r>
      <w:r w:rsidRPr="00E061D1">
        <w:rPr>
          <w:rFonts w:asciiTheme="majorHAnsi" w:hAnsiTheme="majorHAnsi" w:cstheme="majorHAnsi"/>
        </w:rPr>
        <w:t>shkarkimet</w:t>
      </w:r>
      <w:r w:rsidRPr="0057193B">
        <w:rPr>
          <w:rFonts w:asciiTheme="majorHAnsi" w:hAnsiTheme="majorHAnsi" w:cstheme="majorHAnsi"/>
        </w:rPr>
        <w:t xml:space="preserve"> e CO₂ të Shqipërisë (duke përjashtuar LULUCF) ishin rreth 9,622 kt, ndërsa duke përfshirë LULUCF ato ishin pak më të ulëta në 8,990 kt, duke treguar se sektori i përdorimit të tokës vepronte si një </w:t>
      </w:r>
      <w:r w:rsidRPr="00E061D1">
        <w:rPr>
          <w:rFonts w:asciiTheme="majorHAnsi" w:hAnsiTheme="majorHAnsi" w:cstheme="majorHAnsi"/>
        </w:rPr>
        <w:t>thith</w:t>
      </w:r>
      <w:r w:rsidR="005374E3" w:rsidRPr="00E061D1">
        <w:rPr>
          <w:rFonts w:asciiTheme="majorHAnsi" w:hAnsiTheme="majorHAnsi" w:cstheme="majorHAnsi"/>
        </w:rPr>
        <w:t>ë</w:t>
      </w:r>
      <w:r w:rsidRPr="00E061D1">
        <w:rPr>
          <w:rFonts w:asciiTheme="majorHAnsi" w:hAnsiTheme="majorHAnsi" w:cstheme="majorHAnsi"/>
        </w:rPr>
        <w:t>s</w:t>
      </w:r>
      <w:r w:rsidRPr="0057193B">
        <w:rPr>
          <w:rFonts w:asciiTheme="majorHAnsi" w:hAnsiTheme="majorHAnsi" w:cstheme="majorHAnsi"/>
        </w:rPr>
        <w:t xml:space="preserve"> modest i karbonit. Gjatë dekadave në vijim, </w:t>
      </w:r>
      <w:r w:rsidRPr="00E061D1">
        <w:rPr>
          <w:rFonts w:asciiTheme="majorHAnsi" w:hAnsiTheme="majorHAnsi" w:cstheme="majorHAnsi"/>
        </w:rPr>
        <w:t>shkarkimet</w:t>
      </w:r>
      <w:r w:rsidRPr="0057193B">
        <w:rPr>
          <w:rFonts w:asciiTheme="majorHAnsi" w:hAnsiTheme="majorHAnsi" w:cstheme="majorHAnsi"/>
        </w:rPr>
        <w:t xml:space="preserve"> shfaqën një trend të luhatshëm në rënie, kryesisht për shkak të ndryshimeve strukturore në sistemin energjetik, rënies së industrisë së rëndë dhe ndryshimeve në menaxhimin e tokës. Deri në vitin 2022, </w:t>
      </w:r>
      <w:r w:rsidR="005374E3" w:rsidRPr="00E061D1">
        <w:rPr>
          <w:rFonts w:asciiTheme="majorHAnsi" w:hAnsiTheme="majorHAnsi" w:cstheme="majorHAnsi"/>
        </w:rPr>
        <w:t>shkarkimet</w:t>
      </w:r>
      <w:r w:rsidRPr="0057193B">
        <w:rPr>
          <w:rFonts w:asciiTheme="majorHAnsi" w:hAnsiTheme="majorHAnsi" w:cstheme="majorHAnsi"/>
        </w:rPr>
        <w:t xml:space="preserve"> totale të CO₂ duke përjashtuar LULUCF kishin rënë në 7,006 kt, ndërsa duke përfshirë LULUCF ato qëndruan në 7,200 kt. Kjo përfaqëson një rënie të përgjithshme prej afërsisht 27% nga nivelet e vitit 1990, pavarësisht ndryshimeve të moderuara nga viti në vit. </w:t>
      </w:r>
    </w:p>
    <w:p w14:paraId="64D26114" w14:textId="77777777" w:rsidR="009D2389" w:rsidRPr="00E061D1" w:rsidRDefault="001C4269" w:rsidP="001C4269">
      <w:pPr>
        <w:pStyle w:val="BodyText"/>
        <w:jc w:val="both"/>
        <w:rPr>
          <w:rFonts w:asciiTheme="majorHAnsi" w:hAnsiTheme="majorHAnsi" w:cstheme="majorHAnsi"/>
        </w:rPr>
      </w:pPr>
      <w:r w:rsidRPr="0057193B">
        <w:rPr>
          <w:rFonts w:asciiTheme="majorHAnsi" w:hAnsiTheme="majorHAnsi" w:cstheme="majorHAnsi"/>
        </w:rPr>
        <w:t xml:space="preserve">Gjatë fillimit të viteve 1990, </w:t>
      </w:r>
      <w:r w:rsidR="005374E3" w:rsidRPr="00E061D1">
        <w:rPr>
          <w:rFonts w:asciiTheme="majorHAnsi" w:hAnsiTheme="majorHAnsi" w:cstheme="majorHAnsi"/>
        </w:rPr>
        <w:t>shkarkimet</w:t>
      </w:r>
      <w:r w:rsidRPr="0057193B">
        <w:rPr>
          <w:rFonts w:asciiTheme="majorHAnsi" w:hAnsiTheme="majorHAnsi" w:cstheme="majorHAnsi"/>
        </w:rPr>
        <w:t xml:space="preserve"> e CO₂ ishin relativisht të larta, kryesisht për shkak të djegies së lëndëve djegëse fosile në sektorët industrialë dhe të energjisë gjatë periudhës së tranzicionit pas rënies së industrive shtetërore. Periudha 1990-1995 shënon një rënie të ndjeshme të niveleve të CO₂, që përkon me ristrukturimin ekonomik, mbylljen e industrisë së rëndë dhe uljen e kërkesës për energji. Në vitet në vijim, ndodh një rimëkëmbje graduale ndërsa ekonomia stabilizohet dhe konsumi i energjisë rritet, megjithëse intensiteti i karbonit mbetet më i ulët se nivelet para vitit 1990. CO₂ mbetet kontribuesi </w:t>
      </w:r>
      <w:r w:rsidR="009D2389" w:rsidRPr="00E061D1">
        <w:rPr>
          <w:rFonts w:asciiTheme="majorHAnsi" w:hAnsiTheme="majorHAnsi" w:cstheme="majorHAnsi"/>
        </w:rPr>
        <w:t>kryesor</w:t>
      </w:r>
      <w:r w:rsidRPr="0057193B">
        <w:rPr>
          <w:rFonts w:asciiTheme="majorHAnsi" w:hAnsiTheme="majorHAnsi" w:cstheme="majorHAnsi"/>
        </w:rPr>
        <w:t xml:space="preserve"> në të gjithë serinë</w:t>
      </w:r>
      <w:r w:rsidR="009D2389" w:rsidRPr="00E061D1">
        <w:rPr>
          <w:rFonts w:asciiTheme="majorHAnsi" w:hAnsiTheme="majorHAnsi" w:cstheme="majorHAnsi"/>
        </w:rPr>
        <w:t xml:space="preserve"> e GES</w:t>
      </w:r>
      <w:r w:rsidRPr="0057193B">
        <w:rPr>
          <w:rFonts w:asciiTheme="majorHAnsi" w:hAnsiTheme="majorHAnsi" w:cstheme="majorHAnsi"/>
        </w:rPr>
        <w:t xml:space="preserve">, duke përbërë afërsisht 65–75% të </w:t>
      </w:r>
      <w:r w:rsidR="005374E3" w:rsidRPr="00E061D1">
        <w:rPr>
          <w:rFonts w:asciiTheme="majorHAnsi" w:hAnsiTheme="majorHAnsi" w:cstheme="majorHAnsi"/>
        </w:rPr>
        <w:t>shkarkimeve</w:t>
      </w:r>
      <w:r w:rsidRPr="0057193B">
        <w:rPr>
          <w:rFonts w:asciiTheme="majorHAnsi" w:hAnsiTheme="majorHAnsi" w:cstheme="majorHAnsi"/>
        </w:rPr>
        <w:t xml:space="preserve"> totale të G</w:t>
      </w:r>
      <w:r w:rsidR="005374E3" w:rsidRPr="00E061D1">
        <w:rPr>
          <w:rFonts w:asciiTheme="majorHAnsi" w:hAnsiTheme="majorHAnsi" w:cstheme="majorHAnsi"/>
        </w:rPr>
        <w:t>ES</w:t>
      </w:r>
      <w:r w:rsidRPr="0057193B">
        <w:rPr>
          <w:rFonts w:asciiTheme="majorHAnsi" w:hAnsiTheme="majorHAnsi" w:cstheme="majorHAnsi"/>
        </w:rPr>
        <w:t xml:space="preserve">. </w:t>
      </w:r>
    </w:p>
    <w:p w14:paraId="347B4352" w14:textId="63808AB1" w:rsidR="009D2389" w:rsidRPr="00E061D1" w:rsidRDefault="005374E3" w:rsidP="001C4269">
      <w:pPr>
        <w:pStyle w:val="BodyText"/>
        <w:jc w:val="both"/>
        <w:rPr>
          <w:rFonts w:asciiTheme="majorHAnsi" w:hAnsiTheme="majorHAnsi" w:cstheme="majorHAnsi"/>
        </w:rPr>
      </w:pPr>
      <w:r w:rsidRPr="00E061D1">
        <w:rPr>
          <w:rFonts w:asciiTheme="majorHAnsi" w:hAnsiTheme="majorHAnsi" w:cstheme="majorHAnsi"/>
        </w:rPr>
        <w:t>Shkarkimet</w:t>
      </w:r>
      <w:r w:rsidR="001C4269" w:rsidRPr="0057193B">
        <w:rPr>
          <w:rFonts w:asciiTheme="majorHAnsi" w:hAnsiTheme="majorHAnsi" w:cstheme="majorHAnsi"/>
        </w:rPr>
        <w:t xml:space="preserve"> e metanit ndoqën një trajektore të ndryshme. Duke përjashtuar LULUCF, emetimet e CH₄ </w:t>
      </w:r>
      <w:r w:rsidR="009D2389" w:rsidRPr="0057193B">
        <w:rPr>
          <w:rFonts w:asciiTheme="majorHAnsi" w:hAnsiTheme="majorHAnsi" w:cstheme="majorHAnsi"/>
        </w:rPr>
        <w:t xml:space="preserve">në vitin 1990 </w:t>
      </w:r>
      <w:r w:rsidR="009D2389" w:rsidRPr="00E061D1">
        <w:rPr>
          <w:rFonts w:asciiTheme="majorHAnsi" w:hAnsiTheme="majorHAnsi" w:cstheme="majorHAnsi"/>
        </w:rPr>
        <w:t>ishin</w:t>
      </w:r>
      <w:r w:rsidR="001C4269" w:rsidRPr="0057193B">
        <w:rPr>
          <w:rFonts w:asciiTheme="majorHAnsi" w:hAnsiTheme="majorHAnsi" w:cstheme="majorHAnsi"/>
        </w:rPr>
        <w:t xml:space="preserve"> në 1,856 kt CO₂-eq dhe ranë </w:t>
      </w:r>
      <w:r w:rsidR="009D2389" w:rsidRPr="0057193B">
        <w:rPr>
          <w:rFonts w:asciiTheme="majorHAnsi" w:hAnsiTheme="majorHAnsi" w:cstheme="majorHAnsi"/>
        </w:rPr>
        <w:t>deri në vitin 2022</w:t>
      </w:r>
      <w:r w:rsidR="009D2389" w:rsidRPr="00E061D1">
        <w:rPr>
          <w:rFonts w:asciiTheme="majorHAnsi" w:hAnsiTheme="majorHAnsi" w:cstheme="majorHAnsi"/>
        </w:rPr>
        <w:t xml:space="preserve"> </w:t>
      </w:r>
      <w:r w:rsidR="001C4269" w:rsidRPr="0057193B">
        <w:rPr>
          <w:rFonts w:asciiTheme="majorHAnsi" w:hAnsiTheme="majorHAnsi" w:cstheme="majorHAnsi"/>
        </w:rPr>
        <w:t xml:space="preserve">në 1,198 kt, një ulje prej rreth 35%. Përfshirja e efekteve të LULUCF i ndryshoi </w:t>
      </w:r>
      <w:r w:rsidR="009D2389" w:rsidRPr="00E061D1">
        <w:rPr>
          <w:rFonts w:asciiTheme="majorHAnsi" w:hAnsiTheme="majorHAnsi" w:cstheme="majorHAnsi"/>
        </w:rPr>
        <w:t>leht</w:t>
      </w:r>
      <w:r w:rsidR="00DF05F7">
        <w:rPr>
          <w:rFonts w:asciiTheme="majorHAnsi" w:hAnsiTheme="majorHAnsi" w:cstheme="majorHAnsi"/>
        </w:rPr>
        <w:t>ë</w:t>
      </w:r>
      <w:r w:rsidR="009D2389" w:rsidRPr="00E061D1">
        <w:rPr>
          <w:rFonts w:asciiTheme="majorHAnsi" w:hAnsiTheme="majorHAnsi" w:cstheme="majorHAnsi"/>
        </w:rPr>
        <w:t xml:space="preserve">sisht </w:t>
      </w:r>
      <w:r w:rsidR="001C4269" w:rsidRPr="0057193B">
        <w:rPr>
          <w:rFonts w:asciiTheme="majorHAnsi" w:hAnsiTheme="majorHAnsi" w:cstheme="majorHAnsi"/>
        </w:rPr>
        <w:t xml:space="preserve">këto totale, duke </w:t>
      </w:r>
      <w:r w:rsidR="009D2389" w:rsidRPr="00E061D1">
        <w:rPr>
          <w:rFonts w:asciiTheme="majorHAnsi" w:hAnsiTheme="majorHAnsi" w:cstheme="majorHAnsi"/>
        </w:rPr>
        <w:t>paraqitur</w:t>
      </w:r>
      <w:r w:rsidR="001C4269" w:rsidRPr="0057193B">
        <w:rPr>
          <w:rFonts w:asciiTheme="majorHAnsi" w:hAnsiTheme="majorHAnsi" w:cstheme="majorHAnsi"/>
        </w:rPr>
        <w:t xml:space="preserve"> ndërveprimin e kufizuar midis metanit dhe dinamikës së përdorimit të tokës. Burimet kryesore të </w:t>
      </w:r>
      <w:r w:rsidR="009D2389" w:rsidRPr="00E061D1">
        <w:rPr>
          <w:rFonts w:asciiTheme="majorHAnsi" w:hAnsiTheme="majorHAnsi" w:cstheme="majorHAnsi"/>
        </w:rPr>
        <w:t>shkarkimir</w:t>
      </w:r>
      <w:r w:rsidR="001C4269" w:rsidRPr="0057193B">
        <w:rPr>
          <w:rFonts w:asciiTheme="majorHAnsi" w:hAnsiTheme="majorHAnsi" w:cstheme="majorHAnsi"/>
        </w:rPr>
        <w:t xml:space="preserve"> të CH₄ mbeten sektorët e bujqësisë dhe të mbet</w:t>
      </w:r>
      <w:r w:rsidR="009D2389" w:rsidRPr="00DD11E1">
        <w:rPr>
          <w:rFonts w:asciiTheme="majorHAnsi" w:hAnsiTheme="majorHAnsi" w:cstheme="majorHAnsi"/>
        </w:rPr>
        <w:t>jeve</w:t>
      </w:r>
      <w:r w:rsidR="001C4269" w:rsidRPr="0057193B">
        <w:rPr>
          <w:rFonts w:asciiTheme="majorHAnsi" w:hAnsiTheme="majorHAnsi" w:cstheme="majorHAnsi"/>
        </w:rPr>
        <w:t xml:space="preserve"> - veçanërisht fermentimi enterik i bagëtive dhe gazi i </w:t>
      </w:r>
      <w:r w:rsidR="009D2389" w:rsidRPr="00DD11E1">
        <w:rPr>
          <w:rFonts w:asciiTheme="majorHAnsi" w:hAnsiTheme="majorHAnsi" w:cstheme="majorHAnsi"/>
        </w:rPr>
        <w:t>lahndfilleve, dhe q</w:t>
      </w:r>
      <w:r w:rsidR="00DF05F7" w:rsidRPr="00DD11E1">
        <w:rPr>
          <w:rFonts w:asciiTheme="majorHAnsi" w:hAnsiTheme="majorHAnsi" w:cstheme="majorHAnsi"/>
        </w:rPr>
        <w:t>ë</w:t>
      </w:r>
      <w:r w:rsidR="009D2389" w:rsidRPr="00DD11E1">
        <w:rPr>
          <w:rFonts w:asciiTheme="majorHAnsi" w:hAnsiTheme="majorHAnsi" w:cstheme="majorHAnsi"/>
        </w:rPr>
        <w:t xml:space="preserve"> </w:t>
      </w:r>
      <w:r w:rsidR="001C4269" w:rsidRPr="0057193B">
        <w:rPr>
          <w:rFonts w:asciiTheme="majorHAnsi" w:hAnsiTheme="majorHAnsi" w:cstheme="majorHAnsi"/>
        </w:rPr>
        <w:t xml:space="preserve">të dy kanë </w:t>
      </w:r>
      <w:r w:rsidR="009D2389" w:rsidRPr="00DD11E1">
        <w:rPr>
          <w:rFonts w:asciiTheme="majorHAnsi" w:hAnsiTheme="majorHAnsi" w:cstheme="majorHAnsi"/>
        </w:rPr>
        <w:t>paraqitur</w:t>
      </w:r>
      <w:r w:rsidR="001C4269" w:rsidRPr="0057193B">
        <w:rPr>
          <w:rFonts w:asciiTheme="majorHAnsi" w:hAnsiTheme="majorHAnsi" w:cstheme="majorHAnsi"/>
        </w:rPr>
        <w:t xml:space="preserve"> zbutje graduale që nga fillimi i viteve 2000. </w:t>
      </w:r>
      <w:r w:rsidR="009D2389" w:rsidRPr="00DD11E1">
        <w:rPr>
          <w:rFonts w:asciiTheme="majorHAnsi" w:hAnsiTheme="majorHAnsi" w:cstheme="majorHAnsi"/>
        </w:rPr>
        <w:t>Shkarkimet</w:t>
      </w:r>
      <w:r w:rsidR="001C4269" w:rsidRPr="0057193B">
        <w:rPr>
          <w:rFonts w:asciiTheme="majorHAnsi" w:hAnsiTheme="majorHAnsi" w:cstheme="majorHAnsi"/>
        </w:rPr>
        <w:t xml:space="preserve"> e metanit (CH₄) shfaqin një trend më të sheshtë, por të luhatshëm, kryesisht të lidhur me bujqësinë (veçanërisht menaxhimin e bagëtive dhe plehut organik) dhe asgjësimin e mbet</w:t>
      </w:r>
      <w:r w:rsidR="009D2389" w:rsidRPr="00DD11E1">
        <w:rPr>
          <w:rFonts w:asciiTheme="majorHAnsi" w:hAnsiTheme="majorHAnsi" w:cstheme="majorHAnsi"/>
        </w:rPr>
        <w:t>jeve</w:t>
      </w:r>
      <w:r w:rsidR="001C4269" w:rsidRPr="0057193B">
        <w:rPr>
          <w:rFonts w:asciiTheme="majorHAnsi" w:hAnsiTheme="majorHAnsi" w:cstheme="majorHAnsi"/>
        </w:rPr>
        <w:t xml:space="preserve"> të ngurta. Nivelet e CH₄ mbeten mjaft të qëndrueshme gjatë viteve 1990, me ulje të vogla pas përmirësimeve në praktikat e trajtimit të mbet</w:t>
      </w:r>
      <w:r w:rsidR="009D2389" w:rsidRPr="00DD11E1">
        <w:rPr>
          <w:rFonts w:asciiTheme="majorHAnsi" w:hAnsiTheme="majorHAnsi" w:cstheme="majorHAnsi"/>
        </w:rPr>
        <w:t>jeve</w:t>
      </w:r>
      <w:r w:rsidR="001C4269" w:rsidRPr="0057193B">
        <w:rPr>
          <w:rFonts w:asciiTheme="majorHAnsi" w:hAnsiTheme="majorHAnsi" w:cstheme="majorHAnsi"/>
        </w:rPr>
        <w:t>. Megjithatë, nga mesi i viteve 2000 e tutje, ka rritje të lehta që</w:t>
      </w:r>
      <w:r w:rsidR="009D2389" w:rsidRPr="00DD11E1">
        <w:rPr>
          <w:rFonts w:asciiTheme="majorHAnsi" w:hAnsiTheme="majorHAnsi" w:cstheme="majorHAnsi"/>
        </w:rPr>
        <w:t xml:space="preserve"> lidhen me </w:t>
      </w:r>
      <w:r w:rsidR="001C4269" w:rsidRPr="0057193B">
        <w:rPr>
          <w:rFonts w:asciiTheme="majorHAnsi" w:hAnsiTheme="majorHAnsi" w:cstheme="majorHAnsi"/>
        </w:rPr>
        <w:t>rritje</w:t>
      </w:r>
      <w:r w:rsidR="009D2389" w:rsidRPr="00DD11E1">
        <w:rPr>
          <w:rFonts w:asciiTheme="majorHAnsi" w:hAnsiTheme="majorHAnsi" w:cstheme="majorHAnsi"/>
        </w:rPr>
        <w:t>n</w:t>
      </w:r>
      <w:r w:rsidR="001C4269" w:rsidRPr="0057193B">
        <w:rPr>
          <w:rFonts w:asciiTheme="majorHAnsi" w:hAnsiTheme="majorHAnsi" w:cstheme="majorHAnsi"/>
        </w:rPr>
        <w:t xml:space="preserve"> </w:t>
      </w:r>
      <w:r w:rsidR="009D2389" w:rsidRPr="00DD11E1">
        <w:rPr>
          <w:rFonts w:asciiTheme="majorHAnsi" w:hAnsiTheme="majorHAnsi" w:cstheme="majorHAnsi"/>
        </w:rPr>
        <w:t xml:space="preserve">e </w:t>
      </w:r>
      <w:r w:rsidR="001C4269" w:rsidRPr="0057193B">
        <w:rPr>
          <w:rFonts w:asciiTheme="majorHAnsi" w:hAnsiTheme="majorHAnsi" w:cstheme="majorHAnsi"/>
        </w:rPr>
        <w:t xml:space="preserve">popullatave të bagëtive dhe zgjerimit urban, të cilat rrisin vëllimin e mbetjeve organike. Kontributi i metanit në </w:t>
      </w:r>
      <w:r w:rsidR="009D2389" w:rsidRPr="00E061D1">
        <w:rPr>
          <w:rFonts w:asciiTheme="majorHAnsi" w:hAnsiTheme="majorHAnsi" w:cstheme="majorHAnsi"/>
        </w:rPr>
        <w:t>shkarkimet</w:t>
      </w:r>
      <w:r w:rsidR="001C4269" w:rsidRPr="0057193B">
        <w:rPr>
          <w:rFonts w:asciiTheme="majorHAnsi" w:hAnsiTheme="majorHAnsi" w:cstheme="majorHAnsi"/>
        </w:rPr>
        <w:t xml:space="preserve"> totale të </w:t>
      </w:r>
      <w:r w:rsidR="001C4269" w:rsidRPr="0057193B">
        <w:rPr>
          <w:rFonts w:asciiTheme="majorHAnsi" w:hAnsiTheme="majorHAnsi" w:cstheme="majorHAnsi"/>
        </w:rPr>
        <w:lastRenderedPageBreak/>
        <w:t>G</w:t>
      </w:r>
      <w:r w:rsidR="009D2389" w:rsidRPr="00E061D1">
        <w:rPr>
          <w:rFonts w:asciiTheme="majorHAnsi" w:hAnsiTheme="majorHAnsi" w:cstheme="majorHAnsi"/>
        </w:rPr>
        <w:t>E</w:t>
      </w:r>
      <w:r w:rsidR="001C4269" w:rsidRPr="0057193B">
        <w:rPr>
          <w:rFonts w:asciiTheme="majorHAnsi" w:hAnsiTheme="majorHAnsi" w:cstheme="majorHAnsi"/>
        </w:rPr>
        <w:t>S-ve mesatarisht varion nga 20-25</w:t>
      </w:r>
      <w:r w:rsidR="009D2389" w:rsidRPr="00E061D1">
        <w:rPr>
          <w:rFonts w:asciiTheme="majorHAnsi" w:hAnsiTheme="majorHAnsi" w:cstheme="majorHAnsi"/>
        </w:rPr>
        <w:t>%</w:t>
      </w:r>
      <w:r w:rsidR="001C4269" w:rsidRPr="0057193B">
        <w:rPr>
          <w:rFonts w:asciiTheme="majorHAnsi" w:hAnsiTheme="majorHAnsi" w:cstheme="majorHAnsi"/>
        </w:rPr>
        <w:t xml:space="preserve">, duke theksuar rëndësinë e tij të vazhdueshme në inventarin kombëtar. </w:t>
      </w:r>
    </w:p>
    <w:p w14:paraId="34C63D6D" w14:textId="4145071D" w:rsidR="00213150" w:rsidRDefault="009D2389" w:rsidP="000F3E74">
      <w:pPr>
        <w:pStyle w:val="BodyText"/>
        <w:jc w:val="both"/>
        <w:rPr>
          <w:rFonts w:asciiTheme="majorHAnsi" w:hAnsiTheme="majorHAnsi" w:cstheme="majorHAnsi"/>
        </w:rPr>
      </w:pPr>
      <w:r w:rsidRPr="00E061D1">
        <w:rPr>
          <w:rFonts w:asciiTheme="majorHAnsi" w:hAnsiTheme="majorHAnsi" w:cstheme="majorHAnsi"/>
        </w:rPr>
        <w:t>Shkarkimet</w:t>
      </w:r>
      <w:r w:rsidR="001C4269" w:rsidRPr="0057193B">
        <w:rPr>
          <w:rFonts w:asciiTheme="majorHAnsi" w:hAnsiTheme="majorHAnsi" w:cstheme="majorHAnsi"/>
        </w:rPr>
        <w:t xml:space="preserve"> e oksidit të azotit (N₂O) kanë luhatur </w:t>
      </w:r>
      <w:r w:rsidR="00E061D1" w:rsidRPr="00E061D1">
        <w:rPr>
          <w:rFonts w:asciiTheme="majorHAnsi" w:hAnsiTheme="majorHAnsi" w:cstheme="majorHAnsi"/>
        </w:rPr>
        <w:t>n</w:t>
      </w:r>
      <w:r w:rsidR="00DF05F7">
        <w:rPr>
          <w:rFonts w:asciiTheme="majorHAnsi" w:hAnsiTheme="majorHAnsi" w:cstheme="majorHAnsi"/>
        </w:rPr>
        <w:t>ë</w:t>
      </w:r>
      <w:r w:rsidR="00E061D1" w:rsidRPr="00E061D1">
        <w:rPr>
          <w:rFonts w:asciiTheme="majorHAnsi" w:hAnsiTheme="majorHAnsi" w:cstheme="majorHAnsi"/>
        </w:rPr>
        <w:t xml:space="preserve"> m</w:t>
      </w:r>
      <w:r w:rsidR="00DF05F7">
        <w:rPr>
          <w:rFonts w:asciiTheme="majorHAnsi" w:hAnsiTheme="majorHAnsi" w:cstheme="majorHAnsi"/>
        </w:rPr>
        <w:t>ë</w:t>
      </w:r>
      <w:r w:rsidR="00E061D1" w:rsidRPr="00E061D1">
        <w:rPr>
          <w:rFonts w:asciiTheme="majorHAnsi" w:hAnsiTheme="majorHAnsi" w:cstheme="majorHAnsi"/>
        </w:rPr>
        <w:t>nyr</w:t>
      </w:r>
      <w:r w:rsidR="00DF05F7">
        <w:rPr>
          <w:rFonts w:asciiTheme="majorHAnsi" w:hAnsiTheme="majorHAnsi" w:cstheme="majorHAnsi"/>
        </w:rPr>
        <w:t>ë</w:t>
      </w:r>
      <w:r w:rsidR="00E061D1" w:rsidRPr="00E061D1">
        <w:rPr>
          <w:rFonts w:asciiTheme="majorHAnsi" w:hAnsiTheme="majorHAnsi" w:cstheme="majorHAnsi"/>
        </w:rPr>
        <w:t xml:space="preserve"> m</w:t>
      </w:r>
      <w:r w:rsidR="00DF05F7">
        <w:rPr>
          <w:rFonts w:asciiTheme="majorHAnsi" w:hAnsiTheme="majorHAnsi" w:cstheme="majorHAnsi"/>
        </w:rPr>
        <w:t>ë</w:t>
      </w:r>
      <w:r w:rsidR="00E061D1" w:rsidRPr="00E061D1">
        <w:rPr>
          <w:rFonts w:asciiTheme="majorHAnsi" w:hAnsiTheme="majorHAnsi" w:cstheme="majorHAnsi"/>
        </w:rPr>
        <w:t xml:space="preserve"> t</w:t>
      </w:r>
      <w:r w:rsidR="00DF05F7">
        <w:rPr>
          <w:rFonts w:asciiTheme="majorHAnsi" w:hAnsiTheme="majorHAnsi" w:cstheme="majorHAnsi"/>
        </w:rPr>
        <w:t>ë</w:t>
      </w:r>
      <w:r w:rsidR="00E061D1" w:rsidRPr="00E061D1">
        <w:rPr>
          <w:rFonts w:asciiTheme="majorHAnsi" w:hAnsiTheme="majorHAnsi" w:cstheme="majorHAnsi"/>
        </w:rPr>
        <w:t xml:space="preserve"> parregullt</w:t>
      </w:r>
      <w:r w:rsidR="001C4269" w:rsidRPr="0057193B">
        <w:rPr>
          <w:rFonts w:asciiTheme="majorHAnsi" w:hAnsiTheme="majorHAnsi" w:cstheme="majorHAnsi"/>
        </w:rPr>
        <w:t xml:space="preserve">. Në vitin 1990, </w:t>
      </w:r>
      <w:r w:rsidR="00E061D1" w:rsidRPr="00E061D1">
        <w:rPr>
          <w:rFonts w:asciiTheme="majorHAnsi" w:hAnsiTheme="majorHAnsi" w:cstheme="majorHAnsi"/>
        </w:rPr>
        <w:t>shkarkimet</w:t>
      </w:r>
      <w:r w:rsidR="001C4269" w:rsidRPr="0057193B">
        <w:rPr>
          <w:rFonts w:asciiTheme="majorHAnsi" w:hAnsiTheme="majorHAnsi" w:cstheme="majorHAnsi"/>
        </w:rPr>
        <w:t xml:space="preserve"> duke përjashtuar LULUCF ishin 685 kt, duke rënë në 283 kt deri në vitin 2022, duke shënuar një ulje prej 59%. Kur përfshihet LULUCF, </w:t>
      </w:r>
      <w:r w:rsidR="00E061D1" w:rsidRPr="00E061D1">
        <w:rPr>
          <w:rFonts w:asciiTheme="majorHAnsi" w:hAnsiTheme="majorHAnsi" w:cstheme="majorHAnsi"/>
        </w:rPr>
        <w:t>shkarkimet</w:t>
      </w:r>
      <w:r w:rsidR="001C4269" w:rsidRPr="0057193B">
        <w:rPr>
          <w:rFonts w:asciiTheme="majorHAnsi" w:hAnsiTheme="majorHAnsi" w:cstheme="majorHAnsi"/>
        </w:rPr>
        <w:t xml:space="preserve"> e N₂O ishin 640 kt në vitin 1990 dhe 364 kt në vitin 2022. Këto vlera </w:t>
      </w:r>
      <w:r w:rsidR="00E061D1" w:rsidRPr="00E061D1">
        <w:rPr>
          <w:rFonts w:asciiTheme="majorHAnsi" w:hAnsiTheme="majorHAnsi" w:cstheme="majorHAnsi"/>
        </w:rPr>
        <w:t>paraqesin</w:t>
      </w:r>
      <w:r w:rsidR="001C4269" w:rsidRPr="0057193B">
        <w:rPr>
          <w:rFonts w:asciiTheme="majorHAnsi" w:hAnsiTheme="majorHAnsi" w:cstheme="majorHAnsi"/>
        </w:rPr>
        <w:t xml:space="preserve"> </w:t>
      </w:r>
      <w:r w:rsidR="00E061D1" w:rsidRPr="00E061D1">
        <w:rPr>
          <w:rFonts w:asciiTheme="majorHAnsi" w:hAnsiTheme="majorHAnsi" w:cstheme="majorHAnsi"/>
        </w:rPr>
        <w:t>q</w:t>
      </w:r>
      <w:r w:rsidR="00DF05F7">
        <w:rPr>
          <w:rFonts w:asciiTheme="majorHAnsi" w:hAnsiTheme="majorHAnsi" w:cstheme="majorHAnsi"/>
        </w:rPr>
        <w:t>ë</w:t>
      </w:r>
      <w:r w:rsidR="00E061D1" w:rsidRPr="00E061D1">
        <w:rPr>
          <w:rFonts w:asciiTheme="majorHAnsi" w:hAnsiTheme="majorHAnsi" w:cstheme="majorHAnsi"/>
        </w:rPr>
        <w:t xml:space="preserve"> ka patur </w:t>
      </w:r>
      <w:r w:rsidR="001C4269" w:rsidRPr="0057193B">
        <w:rPr>
          <w:rFonts w:asciiTheme="majorHAnsi" w:hAnsiTheme="majorHAnsi" w:cstheme="majorHAnsi"/>
        </w:rPr>
        <w:t xml:space="preserve">përmirësime në menaxhimin e </w:t>
      </w:r>
      <w:r w:rsidR="00E061D1" w:rsidRPr="00E061D1">
        <w:rPr>
          <w:rFonts w:asciiTheme="majorHAnsi" w:hAnsiTheme="majorHAnsi" w:cstheme="majorHAnsi"/>
        </w:rPr>
        <w:t xml:space="preserve">fertilizuesve </w:t>
      </w:r>
      <w:r w:rsidR="001C4269" w:rsidRPr="0057193B">
        <w:rPr>
          <w:rFonts w:asciiTheme="majorHAnsi" w:hAnsiTheme="majorHAnsi" w:cstheme="majorHAnsi"/>
        </w:rPr>
        <w:t xml:space="preserve">dhe rënie të intensitetit bujqësor, por edhe një kompensim të mundshëm nga </w:t>
      </w:r>
      <w:r w:rsidR="00E061D1" w:rsidRPr="00E061D1">
        <w:rPr>
          <w:rFonts w:asciiTheme="majorHAnsi" w:hAnsiTheme="majorHAnsi" w:cstheme="majorHAnsi"/>
        </w:rPr>
        <w:t>shkarkimet</w:t>
      </w:r>
      <w:r w:rsidR="001C4269" w:rsidRPr="0057193B">
        <w:rPr>
          <w:rFonts w:asciiTheme="majorHAnsi" w:hAnsiTheme="majorHAnsi" w:cstheme="majorHAnsi"/>
        </w:rPr>
        <w:t xml:space="preserve"> që lidhen me tokën dhe pyjet. </w:t>
      </w:r>
      <w:r w:rsidR="00E061D1" w:rsidRPr="00E061D1">
        <w:rPr>
          <w:rFonts w:asciiTheme="majorHAnsi" w:hAnsiTheme="majorHAnsi" w:cstheme="majorHAnsi"/>
        </w:rPr>
        <w:t xml:space="preserve">Shkarkimet </w:t>
      </w:r>
      <w:r w:rsidR="001C4269" w:rsidRPr="0057193B">
        <w:rPr>
          <w:rFonts w:asciiTheme="majorHAnsi" w:hAnsiTheme="majorHAnsi" w:cstheme="majorHAnsi"/>
        </w:rPr>
        <w:t>e oksidit të azotit (N₂O)</w:t>
      </w:r>
      <w:r w:rsidR="00E061D1" w:rsidRPr="00E061D1">
        <w:rPr>
          <w:rFonts w:asciiTheme="majorHAnsi" w:hAnsiTheme="majorHAnsi" w:cstheme="majorHAnsi"/>
        </w:rPr>
        <w:t xml:space="preserve"> zen</w:t>
      </w:r>
      <w:r w:rsidR="00DF05F7">
        <w:rPr>
          <w:rFonts w:asciiTheme="majorHAnsi" w:hAnsiTheme="majorHAnsi" w:cstheme="majorHAnsi"/>
        </w:rPr>
        <w:t>ë</w:t>
      </w:r>
      <w:r w:rsidR="00E061D1" w:rsidRPr="00E061D1">
        <w:rPr>
          <w:rFonts w:asciiTheme="majorHAnsi" w:hAnsiTheme="majorHAnsi" w:cstheme="majorHAnsi"/>
        </w:rPr>
        <w:t xml:space="preserve"> % m</w:t>
      </w:r>
      <w:r w:rsidR="00DF05F7">
        <w:rPr>
          <w:rFonts w:asciiTheme="majorHAnsi" w:hAnsiTheme="majorHAnsi" w:cstheme="majorHAnsi"/>
        </w:rPr>
        <w:t>ë</w:t>
      </w:r>
      <w:r w:rsidR="00E061D1" w:rsidRPr="00E061D1">
        <w:rPr>
          <w:rFonts w:asciiTheme="majorHAnsi" w:hAnsiTheme="majorHAnsi" w:cstheme="majorHAnsi"/>
        </w:rPr>
        <w:t xml:space="preserve"> t</w:t>
      </w:r>
      <w:r w:rsidR="00DF05F7">
        <w:rPr>
          <w:rFonts w:asciiTheme="majorHAnsi" w:hAnsiTheme="majorHAnsi" w:cstheme="majorHAnsi"/>
        </w:rPr>
        <w:t>ë</w:t>
      </w:r>
      <w:r w:rsidR="00E061D1" w:rsidRPr="00E061D1">
        <w:rPr>
          <w:rFonts w:asciiTheme="majorHAnsi" w:hAnsiTheme="majorHAnsi" w:cstheme="majorHAnsi"/>
        </w:rPr>
        <w:t xml:space="preserve"> vog</w:t>
      </w:r>
      <w:r w:rsidR="00DF05F7">
        <w:rPr>
          <w:rFonts w:asciiTheme="majorHAnsi" w:hAnsiTheme="majorHAnsi" w:cstheme="majorHAnsi"/>
        </w:rPr>
        <w:t>ë</w:t>
      </w:r>
      <w:r w:rsidR="00E061D1" w:rsidRPr="00E061D1">
        <w:rPr>
          <w:rFonts w:asciiTheme="majorHAnsi" w:hAnsiTheme="majorHAnsi" w:cstheme="majorHAnsi"/>
        </w:rPr>
        <w:t>l n</w:t>
      </w:r>
      <w:r w:rsidR="00DF05F7">
        <w:rPr>
          <w:rFonts w:asciiTheme="majorHAnsi" w:hAnsiTheme="majorHAnsi" w:cstheme="majorHAnsi"/>
        </w:rPr>
        <w:t>ë</w:t>
      </w:r>
      <w:r w:rsidR="00E061D1" w:rsidRPr="00E061D1">
        <w:rPr>
          <w:rFonts w:asciiTheme="majorHAnsi" w:hAnsiTheme="majorHAnsi" w:cstheme="majorHAnsi"/>
        </w:rPr>
        <w:t xml:space="preserve"> totalin e GES</w:t>
      </w:r>
      <w:r w:rsidR="001C4269" w:rsidRPr="0057193B">
        <w:rPr>
          <w:rFonts w:asciiTheme="majorHAnsi" w:hAnsiTheme="majorHAnsi" w:cstheme="majorHAnsi"/>
        </w:rPr>
        <w:t>, zakonisht rreth 5-10</w:t>
      </w:r>
      <w:r w:rsidR="00E061D1" w:rsidRPr="00E061D1">
        <w:rPr>
          <w:rFonts w:asciiTheme="majorHAnsi" w:hAnsiTheme="majorHAnsi" w:cstheme="majorHAnsi"/>
        </w:rPr>
        <w:t xml:space="preserve">% </w:t>
      </w:r>
      <w:r w:rsidR="001C4269" w:rsidRPr="0057193B">
        <w:rPr>
          <w:rFonts w:asciiTheme="majorHAnsi" w:hAnsiTheme="majorHAnsi" w:cstheme="majorHAnsi"/>
        </w:rPr>
        <w:t>e totalit të G</w:t>
      </w:r>
      <w:r w:rsidR="00E061D1" w:rsidRPr="00E061D1">
        <w:rPr>
          <w:rFonts w:asciiTheme="majorHAnsi" w:hAnsiTheme="majorHAnsi" w:cstheme="majorHAnsi"/>
        </w:rPr>
        <w:t>E</w:t>
      </w:r>
      <w:r w:rsidR="001C4269" w:rsidRPr="0057193B">
        <w:rPr>
          <w:rFonts w:asciiTheme="majorHAnsi" w:hAnsiTheme="majorHAnsi" w:cstheme="majorHAnsi"/>
        </w:rPr>
        <w:t xml:space="preserve">S-ve. </w:t>
      </w:r>
      <w:r w:rsidR="00E061D1" w:rsidRPr="00E061D1">
        <w:rPr>
          <w:rFonts w:asciiTheme="majorHAnsi" w:hAnsiTheme="majorHAnsi" w:cstheme="majorHAnsi"/>
        </w:rPr>
        <w:t>Trajektoria e shkarkimeve t</w:t>
      </w:r>
      <w:r w:rsidR="00DF05F7">
        <w:rPr>
          <w:rFonts w:asciiTheme="majorHAnsi" w:hAnsiTheme="majorHAnsi" w:cstheme="majorHAnsi"/>
        </w:rPr>
        <w:t>ë</w:t>
      </w:r>
      <w:r w:rsidR="00E061D1" w:rsidRPr="00E061D1">
        <w:rPr>
          <w:rFonts w:asciiTheme="majorHAnsi" w:hAnsiTheme="majorHAnsi" w:cstheme="majorHAnsi"/>
        </w:rPr>
        <w:t xml:space="preserve"> </w:t>
      </w:r>
      <w:r w:rsidR="001C4269" w:rsidRPr="0057193B">
        <w:rPr>
          <w:rFonts w:asciiTheme="majorHAnsi" w:hAnsiTheme="majorHAnsi" w:cstheme="majorHAnsi"/>
        </w:rPr>
        <w:t>N₂O është relativisht e qëndrueshme, me ndryshime të vogla që pasqyrojnë përdorimin e plehrave bujqësore dhe ndryshimet në intensitetin e përdorimit të tokës. Rritjet e lehta të N₂O në fund të viteve 2000 dhe fillim të viteve 2010 përkojnë me rimëkëmbjen bujqësore dhe kultivimin e intensifikuar të të korrave, ndërsa vitet më të fundit sugjerojnë stabilizim për shkak të menaxhimit më të mirë të pleh</w:t>
      </w:r>
      <w:r w:rsidR="00DD11E1" w:rsidRPr="00DD11E1">
        <w:rPr>
          <w:rFonts w:asciiTheme="majorHAnsi" w:hAnsiTheme="majorHAnsi" w:cstheme="majorHAnsi"/>
        </w:rPr>
        <w:t xml:space="preserve">ërimit </w:t>
      </w:r>
      <w:r w:rsidR="001C4269" w:rsidRPr="0057193B">
        <w:rPr>
          <w:rFonts w:asciiTheme="majorHAnsi" w:hAnsiTheme="majorHAnsi" w:cstheme="majorHAnsi"/>
        </w:rPr>
        <w:t>dhe zhvendosjeve drejt praktikave me</w:t>
      </w:r>
      <w:r w:rsidR="00DD11E1">
        <w:rPr>
          <w:rFonts w:asciiTheme="majorHAnsi" w:hAnsiTheme="majorHAnsi" w:cstheme="majorHAnsi"/>
        </w:rPr>
        <w:t xml:space="preserve"> më pak </w:t>
      </w:r>
      <w:r w:rsidR="001C4269" w:rsidRPr="0057193B">
        <w:rPr>
          <w:rFonts w:asciiTheme="majorHAnsi" w:hAnsiTheme="majorHAnsi" w:cstheme="majorHAnsi"/>
        </w:rPr>
        <w:t xml:space="preserve"> </w:t>
      </w:r>
      <w:r w:rsidR="00E061D1" w:rsidRPr="00DD11E1">
        <w:rPr>
          <w:rFonts w:asciiTheme="majorHAnsi" w:hAnsiTheme="majorHAnsi" w:cstheme="majorHAnsi"/>
        </w:rPr>
        <w:t>shkarkime</w:t>
      </w:r>
      <w:r w:rsidR="001C4269" w:rsidRPr="0057193B">
        <w:rPr>
          <w:rFonts w:asciiTheme="majorHAnsi" w:hAnsiTheme="majorHAnsi" w:cstheme="majorHAnsi"/>
        </w:rPr>
        <w:t>.</w:t>
      </w:r>
    </w:p>
    <w:p w14:paraId="7F1DF7BF" w14:textId="77777777" w:rsidR="00DD11E1" w:rsidRDefault="00DD11E1" w:rsidP="000F3E74">
      <w:pPr>
        <w:pStyle w:val="BodyText"/>
        <w:jc w:val="both"/>
        <w:rPr>
          <w:rFonts w:asciiTheme="majorHAnsi" w:hAnsiTheme="majorHAnsi" w:cstheme="majorHAnsi"/>
        </w:rPr>
      </w:pPr>
    </w:p>
    <w:p w14:paraId="5BCFBAD8" w14:textId="77777777" w:rsidR="00DD11E1" w:rsidRDefault="00DD11E1" w:rsidP="000F3E74">
      <w:pPr>
        <w:pStyle w:val="BodyText"/>
        <w:jc w:val="both"/>
        <w:rPr>
          <w:rFonts w:asciiTheme="majorHAnsi" w:hAnsiTheme="majorHAnsi" w:cstheme="majorHAnsi"/>
        </w:rPr>
      </w:pPr>
    </w:p>
    <w:p w14:paraId="115EBC70" w14:textId="77777777" w:rsidR="00DD11E1" w:rsidRDefault="00DD11E1" w:rsidP="000F3E74">
      <w:pPr>
        <w:pStyle w:val="BodyText"/>
        <w:jc w:val="both"/>
        <w:rPr>
          <w:rFonts w:asciiTheme="majorHAnsi" w:hAnsiTheme="majorHAnsi" w:cstheme="majorHAnsi"/>
        </w:rPr>
      </w:pPr>
    </w:p>
    <w:p w14:paraId="2B7B09C2" w14:textId="77777777" w:rsidR="00DD11E1" w:rsidRDefault="00DD11E1" w:rsidP="000F3E74">
      <w:pPr>
        <w:pStyle w:val="BodyText"/>
        <w:jc w:val="both"/>
        <w:rPr>
          <w:rFonts w:asciiTheme="majorHAnsi" w:hAnsiTheme="majorHAnsi" w:cstheme="majorHAnsi"/>
        </w:rPr>
      </w:pPr>
    </w:p>
    <w:p w14:paraId="261EE1E5" w14:textId="77777777" w:rsidR="00DD11E1" w:rsidRDefault="00DD11E1" w:rsidP="000F3E74">
      <w:pPr>
        <w:pStyle w:val="BodyText"/>
        <w:jc w:val="both"/>
        <w:rPr>
          <w:rFonts w:asciiTheme="majorHAnsi" w:hAnsiTheme="majorHAnsi" w:cstheme="majorHAnsi"/>
        </w:rPr>
      </w:pPr>
    </w:p>
    <w:p w14:paraId="031AFA60" w14:textId="77777777" w:rsidR="00DD11E1" w:rsidRDefault="00DD11E1" w:rsidP="000F3E74">
      <w:pPr>
        <w:pStyle w:val="BodyText"/>
        <w:jc w:val="both"/>
        <w:rPr>
          <w:rFonts w:asciiTheme="majorHAnsi" w:hAnsiTheme="majorHAnsi" w:cstheme="majorHAnsi"/>
        </w:rPr>
      </w:pPr>
    </w:p>
    <w:p w14:paraId="5A154185" w14:textId="77777777" w:rsidR="00DD11E1" w:rsidRDefault="00DD11E1" w:rsidP="000F3E74">
      <w:pPr>
        <w:pStyle w:val="BodyText"/>
        <w:jc w:val="both"/>
        <w:rPr>
          <w:rFonts w:asciiTheme="majorHAnsi" w:hAnsiTheme="majorHAnsi" w:cstheme="majorHAnsi"/>
        </w:rPr>
      </w:pPr>
    </w:p>
    <w:p w14:paraId="49F23187" w14:textId="77777777" w:rsidR="00DD11E1" w:rsidRDefault="00DD11E1" w:rsidP="000F3E74">
      <w:pPr>
        <w:pStyle w:val="BodyText"/>
        <w:jc w:val="both"/>
        <w:rPr>
          <w:rFonts w:asciiTheme="majorHAnsi" w:hAnsiTheme="majorHAnsi" w:cstheme="majorHAnsi"/>
        </w:rPr>
      </w:pPr>
    </w:p>
    <w:p w14:paraId="7BB8C58B" w14:textId="77777777" w:rsidR="00DD11E1" w:rsidRDefault="00DD11E1" w:rsidP="000F3E74">
      <w:pPr>
        <w:pStyle w:val="BodyText"/>
        <w:jc w:val="both"/>
        <w:rPr>
          <w:rFonts w:asciiTheme="majorHAnsi" w:hAnsiTheme="majorHAnsi" w:cstheme="majorHAnsi"/>
        </w:rPr>
      </w:pPr>
    </w:p>
    <w:p w14:paraId="3D3036D5" w14:textId="77777777" w:rsidR="00DD11E1" w:rsidRDefault="00DD11E1" w:rsidP="000F3E74">
      <w:pPr>
        <w:pStyle w:val="BodyText"/>
        <w:jc w:val="both"/>
        <w:rPr>
          <w:rFonts w:asciiTheme="majorHAnsi" w:hAnsiTheme="majorHAnsi" w:cstheme="majorHAnsi"/>
        </w:rPr>
      </w:pPr>
    </w:p>
    <w:p w14:paraId="46199EFB" w14:textId="77777777" w:rsidR="00DD11E1" w:rsidRDefault="00DD11E1" w:rsidP="000F3E74">
      <w:pPr>
        <w:pStyle w:val="BodyText"/>
        <w:jc w:val="both"/>
        <w:rPr>
          <w:rFonts w:asciiTheme="majorHAnsi" w:hAnsiTheme="majorHAnsi" w:cstheme="majorHAnsi"/>
        </w:rPr>
      </w:pPr>
    </w:p>
    <w:p w14:paraId="2096EF1B" w14:textId="77777777" w:rsidR="00DD11E1" w:rsidRDefault="00DD11E1" w:rsidP="000F3E74">
      <w:pPr>
        <w:pStyle w:val="BodyText"/>
        <w:jc w:val="both"/>
        <w:rPr>
          <w:rFonts w:asciiTheme="majorHAnsi" w:hAnsiTheme="majorHAnsi" w:cstheme="majorHAnsi"/>
        </w:rPr>
      </w:pPr>
    </w:p>
    <w:p w14:paraId="3A76628D" w14:textId="77777777" w:rsidR="00DD11E1" w:rsidRDefault="00DD11E1" w:rsidP="000F3E74">
      <w:pPr>
        <w:pStyle w:val="BodyText"/>
        <w:jc w:val="both"/>
        <w:rPr>
          <w:rFonts w:asciiTheme="majorHAnsi" w:hAnsiTheme="majorHAnsi" w:cstheme="majorHAnsi"/>
        </w:rPr>
      </w:pPr>
    </w:p>
    <w:p w14:paraId="6C81DB6D" w14:textId="77777777" w:rsidR="00DD11E1" w:rsidRDefault="00DD11E1" w:rsidP="000F3E74">
      <w:pPr>
        <w:pStyle w:val="BodyText"/>
        <w:jc w:val="both"/>
        <w:rPr>
          <w:rFonts w:asciiTheme="majorHAnsi" w:hAnsiTheme="majorHAnsi" w:cstheme="majorHAnsi"/>
        </w:rPr>
      </w:pPr>
    </w:p>
    <w:p w14:paraId="16E96B39" w14:textId="77777777" w:rsidR="00DD11E1" w:rsidRDefault="00DD11E1" w:rsidP="000F3E74">
      <w:pPr>
        <w:pStyle w:val="BodyText"/>
        <w:jc w:val="both"/>
        <w:rPr>
          <w:rFonts w:asciiTheme="majorHAnsi" w:hAnsiTheme="majorHAnsi" w:cstheme="majorHAnsi"/>
        </w:rPr>
      </w:pPr>
    </w:p>
    <w:p w14:paraId="2529E3E1" w14:textId="77777777" w:rsidR="00DD11E1" w:rsidRDefault="00DD11E1" w:rsidP="000F3E74">
      <w:pPr>
        <w:pStyle w:val="BodyText"/>
        <w:jc w:val="both"/>
        <w:rPr>
          <w:rFonts w:asciiTheme="majorHAnsi" w:hAnsiTheme="majorHAnsi" w:cstheme="majorHAnsi"/>
        </w:rPr>
      </w:pPr>
    </w:p>
    <w:p w14:paraId="0E37E07D" w14:textId="77777777" w:rsidR="00DD11E1" w:rsidRDefault="00DD11E1" w:rsidP="000F3E74">
      <w:pPr>
        <w:pStyle w:val="BodyText"/>
        <w:jc w:val="both"/>
        <w:rPr>
          <w:rFonts w:asciiTheme="majorHAnsi" w:hAnsiTheme="majorHAnsi" w:cstheme="majorHAnsi"/>
        </w:rPr>
      </w:pPr>
    </w:p>
    <w:p w14:paraId="359EE6B8" w14:textId="77777777" w:rsidR="00DD11E1" w:rsidRDefault="00DD11E1" w:rsidP="000F3E74">
      <w:pPr>
        <w:pStyle w:val="BodyText"/>
        <w:jc w:val="both"/>
        <w:rPr>
          <w:rFonts w:asciiTheme="majorHAnsi" w:hAnsiTheme="majorHAnsi" w:cstheme="majorHAnsi"/>
        </w:rPr>
      </w:pPr>
    </w:p>
    <w:p w14:paraId="1BCA6A78" w14:textId="77777777" w:rsidR="00DD11E1" w:rsidRPr="00376025" w:rsidRDefault="00DD11E1" w:rsidP="000F3E74">
      <w:pPr>
        <w:pStyle w:val="BodyText"/>
        <w:jc w:val="both"/>
        <w:rPr>
          <w:rFonts w:asciiTheme="majorHAnsi" w:hAnsiTheme="majorHAnsi" w:cstheme="majorHAnsi"/>
        </w:rPr>
      </w:pPr>
    </w:p>
    <w:p w14:paraId="34C63D6E" w14:textId="77777777" w:rsidR="00213150" w:rsidRPr="00213150" w:rsidRDefault="00213150" w:rsidP="00213150">
      <w:pPr>
        <w:pStyle w:val="Heading1"/>
        <w:rPr>
          <w:rFonts w:asciiTheme="majorHAnsi" w:hAnsiTheme="majorHAnsi" w:cstheme="majorHAnsi"/>
        </w:rPr>
      </w:pPr>
      <w:bookmarkStart w:id="10" w:name="_Toc216778856"/>
      <w:r>
        <w:rPr>
          <w:rFonts w:asciiTheme="majorHAnsi" w:hAnsiTheme="majorHAnsi"/>
        </w:rPr>
        <w:lastRenderedPageBreak/>
        <w:t>Zbutja</w:t>
      </w:r>
      <w:bookmarkEnd w:id="10"/>
    </w:p>
    <w:p w14:paraId="34C63D6F" w14:textId="77777777" w:rsidR="00E34692" w:rsidRDefault="00213150" w:rsidP="00213150">
      <w:pPr>
        <w:pStyle w:val="Heading2"/>
        <w:spacing w:before="120"/>
        <w:rPr>
          <w:rFonts w:asciiTheme="majorHAnsi" w:hAnsiTheme="majorHAnsi" w:cstheme="majorHAnsi"/>
        </w:rPr>
      </w:pPr>
      <w:bookmarkStart w:id="11" w:name="_Toc216778857"/>
      <w:r>
        <w:rPr>
          <w:rFonts w:asciiTheme="majorHAnsi" w:hAnsiTheme="majorHAnsi"/>
        </w:rPr>
        <w:t>4.1 Objektivi për zbutjen në KKP 3.0</w:t>
      </w:r>
      <w:bookmarkEnd w:id="11"/>
    </w:p>
    <w:p w14:paraId="34C63D70" w14:textId="77A21162" w:rsidR="00E34692" w:rsidRPr="00E34692" w:rsidRDefault="00E34692" w:rsidP="00E34692">
      <w:pPr>
        <w:pStyle w:val="BodyText"/>
        <w:jc w:val="both"/>
        <w:rPr>
          <w:rFonts w:asciiTheme="majorHAnsi" w:hAnsiTheme="majorHAnsi" w:cstheme="majorHAnsi"/>
        </w:rPr>
      </w:pPr>
      <w:r>
        <w:rPr>
          <w:rFonts w:asciiTheme="majorHAnsi" w:hAnsiTheme="majorHAnsi"/>
        </w:rPr>
        <w:t>Kontributi Kombëtar i Përcaktuar i Shqipërisë (KKP) përcakton objektivin për t'i mbajtur shkarkimet e gazeve me efekt serrë (GES) nën 9195 kiloton CO₂ ekuivalent (ktCO₂eq) brenda vitit 2035 (</w:t>
      </w:r>
      <w:r w:rsidR="00387652">
        <w:rPr>
          <w:rFonts w:asciiTheme="majorHAnsi" w:hAnsiTheme="majorHAnsi" w:cstheme="majorHAnsi"/>
        </w:rPr>
        <w:fldChar w:fldCharType="begin"/>
      </w:r>
      <w:r w:rsidR="00AE1BE3">
        <w:rPr>
          <w:rFonts w:asciiTheme="majorHAnsi" w:hAnsiTheme="majorHAnsi" w:cstheme="majorHAnsi"/>
        </w:rPr>
        <w:instrText xml:space="preserve"> REF _Ref204971748 \h </w:instrText>
      </w:r>
      <w:r w:rsidR="00387652">
        <w:rPr>
          <w:rFonts w:asciiTheme="majorHAnsi" w:hAnsiTheme="majorHAnsi" w:cstheme="majorHAnsi"/>
        </w:rPr>
      </w:r>
      <w:r w:rsidR="00387652">
        <w:rPr>
          <w:rFonts w:asciiTheme="majorHAnsi" w:hAnsiTheme="majorHAnsi" w:cstheme="majorHAnsi"/>
        </w:rPr>
        <w:fldChar w:fldCharType="separate"/>
      </w:r>
      <w:r w:rsidR="00D0533E">
        <w:t xml:space="preserve">Tabela </w:t>
      </w:r>
      <w:r w:rsidR="00D0533E">
        <w:rPr>
          <w:rFonts w:cstheme="majorHAnsi"/>
          <w:noProof/>
        </w:rPr>
        <w:t>1</w:t>
      </w:r>
      <w:r w:rsidR="00387652">
        <w:rPr>
          <w:rFonts w:asciiTheme="majorHAnsi" w:hAnsiTheme="majorHAnsi" w:cstheme="majorHAnsi"/>
        </w:rPr>
        <w:fldChar w:fldCharType="end"/>
      </w:r>
      <w:r>
        <w:rPr>
          <w:rFonts w:asciiTheme="majorHAnsi" w:hAnsiTheme="majorHAnsi"/>
        </w:rPr>
        <w:t>). Ky objektiv bazohet në skenarin "me masa shtesë" (WAM), të parashikuar në Planin Kombëtar për Energjinë dhe Klimën (PKEK) 2025 të Shqipërisë, çka pasqyron rritjen e masave të lidhura me politikat për të reduktuar shkarkimet në disa sektorë. Objektivi përfaqëson një kufizim të rritjes së shkarkimeve deri në 17,4% mbi nivelet e vitit 1990, kur totali i shkarkimeve ishte 7834,07 ktCO₂eq. Në vend që të lejojë rritje së pakontrolluar të shkarkimeve, Shqipëria synon të kufizojë rritjen e shkarkimeve, duke arritur njëkohësisht zhvillim të qëndrueshëm.</w:t>
      </w:r>
    </w:p>
    <w:p w14:paraId="34C63D71" w14:textId="77777777" w:rsidR="00E34692" w:rsidRPr="00E34692" w:rsidRDefault="00E34692" w:rsidP="00E34692">
      <w:pPr>
        <w:pStyle w:val="BodyText"/>
        <w:jc w:val="both"/>
        <w:rPr>
          <w:rFonts w:asciiTheme="majorHAnsi" w:hAnsiTheme="majorHAnsi" w:cstheme="majorHAnsi"/>
        </w:rPr>
      </w:pPr>
      <w:r>
        <w:rPr>
          <w:rFonts w:asciiTheme="majorHAnsi" w:hAnsiTheme="majorHAnsi"/>
        </w:rPr>
        <w:t>Objektivi shtrihet në mbarë ekonominë dhe mbulon të gjitha shkarkimet e GES-ve në nivel kombëtar nga sektorët kyçë, ku përfshihen energjia (me përjashtim të transportit ndërkombëtar), proceset industriale dhe përdorimi i produkteve (PIPP), bujqësia, mbetjet, përdorimi i tokës, ndryshimi i përdorimit të tokës dhe pyjet (PTNPTP). Ky është një objektiv njëvjeçar për t'u arritur në vitin 2035, i cili mbulon periudhën nga 1 janari 2025 deri më 31 dhjetor 2035. Çka është më e rëndësishmja, angazhimi duhet të realizohet pa u mbështetur në kreditet ndërkombëtare të karbonit për të theksuar përkushtimin e Shqipërisë ndaj veprimeve të brendshme për klimën.</w:t>
      </w:r>
    </w:p>
    <w:p w14:paraId="34C63D72" w14:textId="77777777" w:rsidR="00E34692" w:rsidRPr="00236833" w:rsidRDefault="00E34692" w:rsidP="00E34692">
      <w:pPr>
        <w:pStyle w:val="BodyText"/>
        <w:jc w:val="both"/>
        <w:rPr>
          <w:rFonts w:asciiTheme="majorHAnsi" w:hAnsiTheme="majorHAnsi" w:cstheme="majorHAnsi"/>
        </w:rPr>
      </w:pPr>
      <w:r>
        <w:rPr>
          <w:rFonts w:asciiTheme="majorHAnsi" w:hAnsiTheme="majorHAnsi"/>
        </w:rPr>
        <w:t>KKP-ja merr në konsideratë shkarkimet e dyoksidit të karbonit (CO₂), metanit (CH₄), oksidit të azotit (N₂O) dhe hidrofluorokarbonëve (HFC). Gazet e tjera, si perfluorokarbonët (PFC), hekzafluoridi i squfurit (SF₆) dhe trifluoridi i azotit (NF₃) nuk përfshihen për shkak të pranisë së tyre të papërfillshme në inventarin kombëtar. Nga ana metodologjike, Shqipëria ndjek Udhëzimet e Panelit Ndërqeveritar për Ndryshimet Klimatike (PNNK) të vitit 2006 dhe përdor vlerat e Potencialit të Ngrohjes Globale (PNG) për një periudhë kohore 100-vjeçare nga Raporti i Pestë i Vlerësimit i PNNK-së. Përveç objektivit për vitin 2035, Shqipëria po punon gjithashtu drejt arritjes së neutralitetit klimatik brenda vitit 2050, i cili është një objektiv afatgjatë i artikuluar edhe në PKEK.</w:t>
      </w:r>
    </w:p>
    <w:p w14:paraId="41E3EE98" w14:textId="48FC5980" w:rsidR="00B90348" w:rsidRPr="00E34692" w:rsidRDefault="00A21CC7" w:rsidP="00E34692">
      <w:pPr>
        <w:pStyle w:val="BodyText"/>
        <w:jc w:val="both"/>
        <w:rPr>
          <w:rFonts w:asciiTheme="majorHAnsi" w:hAnsiTheme="majorHAnsi" w:cstheme="majorHAnsi"/>
        </w:rPr>
      </w:pPr>
      <w:r>
        <w:rPr>
          <w:rFonts w:asciiTheme="majorHAnsi" w:hAnsiTheme="majorHAnsi"/>
        </w:rPr>
        <w:t xml:space="preserve">Arritja e objektivit për zbutjen brenda vitit 2035, si dhe e objektivit të ndërmjetëm të përditësuar për vitin 2030, të parashikuar në PKEK 2025 (shihni seksionin 4.2), do të kërkojë zbatim të plotë dhe financim të përshtatshëm të të gjitha masave për zbutjen të përfshira në PKEK 2025. </w:t>
      </w:r>
      <w:bookmarkStart w:id="12" w:name="_Hlk213063328"/>
      <w:r>
        <w:rPr>
          <w:rFonts w:asciiTheme="majorHAnsi" w:hAnsiTheme="majorHAnsi"/>
        </w:rPr>
        <w:t>Kjo do të sigurojë që angazhimet e lidhura me politikat të përkthehen në veprime konkrete, duke i mundësuar Shqipërisë të mbetet në rrugën e duhur drejt objektivave të saj afatgjata të dekarbonizimit</w:t>
      </w:r>
      <w:bookmarkEnd w:id="12"/>
      <w:r>
        <w:rPr>
          <w:rFonts w:asciiTheme="majorHAnsi" w:hAnsiTheme="majorHAnsi"/>
        </w:rPr>
        <w:t xml:space="preserve">.  </w:t>
      </w:r>
    </w:p>
    <w:p w14:paraId="34C63D73" w14:textId="59D5038C" w:rsidR="002153A8" w:rsidRPr="002153A8" w:rsidRDefault="002153A8" w:rsidP="00DD11E1">
      <w:pPr>
        <w:pStyle w:val="Caption"/>
        <w:jc w:val="left"/>
        <w:rPr>
          <w:rFonts w:cstheme="majorHAnsi"/>
        </w:rPr>
      </w:pPr>
      <w:bookmarkStart w:id="13" w:name="_Ref204971748"/>
      <w:bookmarkStart w:id="14" w:name="_Toc216778884"/>
      <w:r>
        <w:t xml:space="preserve">Tabela </w:t>
      </w:r>
      <w:r w:rsidR="00387652" w:rsidRPr="00420F06">
        <w:rPr>
          <w:rFonts w:cstheme="majorHAnsi"/>
        </w:rPr>
        <w:fldChar w:fldCharType="begin"/>
      </w:r>
      <w:r w:rsidRPr="00420F06">
        <w:rPr>
          <w:rFonts w:cstheme="majorHAnsi"/>
        </w:rPr>
        <w:instrText xml:space="preserve"> SEQ Table \* ARABIC </w:instrText>
      </w:r>
      <w:r w:rsidR="00387652" w:rsidRPr="00420F06">
        <w:rPr>
          <w:rFonts w:cstheme="majorHAnsi"/>
        </w:rPr>
        <w:fldChar w:fldCharType="separate"/>
      </w:r>
      <w:r w:rsidR="00D0533E">
        <w:rPr>
          <w:rFonts w:cstheme="majorHAnsi"/>
          <w:noProof/>
        </w:rPr>
        <w:t>1</w:t>
      </w:r>
      <w:r w:rsidR="00387652" w:rsidRPr="00420F06">
        <w:rPr>
          <w:rFonts w:cstheme="majorHAnsi"/>
        </w:rPr>
        <w:fldChar w:fldCharType="end"/>
      </w:r>
      <w:bookmarkEnd w:id="13"/>
      <w:r>
        <w:t>: Përshkrimi i KKP-së 3.0 së Shqipërisë</w:t>
      </w:r>
      <w:bookmarkEnd w:id="14"/>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7930"/>
      </w:tblGrid>
      <w:tr w:rsidR="002153A8" w:rsidRPr="002153A8" w14:paraId="34C63D76" w14:textId="77777777" w:rsidTr="00DD11E1">
        <w:trPr>
          <w:tblHeader/>
        </w:trPr>
        <w:tc>
          <w:tcPr>
            <w:tcW w:w="1165" w:type="dxa"/>
            <w:shd w:val="clear" w:color="auto" w:fill="FFFFFF" w:themeFill="background1"/>
          </w:tcPr>
          <w:p w14:paraId="34C63D74" w14:textId="77777777" w:rsidR="002153A8" w:rsidRPr="002153A8" w:rsidRDefault="002153A8" w:rsidP="00CE45B5">
            <w:pPr>
              <w:pStyle w:val="TabellentextlinksbndigI"/>
              <w:keepNext w:val="0"/>
              <w:keepLines w:val="0"/>
              <w:spacing w:before="0"/>
              <w:jc w:val="center"/>
              <w:rPr>
                <w:rFonts w:asciiTheme="majorHAnsi" w:hAnsiTheme="majorHAnsi" w:cstheme="majorHAnsi"/>
                <w:b/>
              </w:rPr>
            </w:pPr>
            <w:r>
              <w:rPr>
                <w:rFonts w:asciiTheme="majorHAnsi" w:hAnsiTheme="majorHAnsi"/>
                <w:b/>
              </w:rPr>
              <w:t>Informacioni</w:t>
            </w:r>
          </w:p>
        </w:tc>
        <w:tc>
          <w:tcPr>
            <w:tcW w:w="8190" w:type="dxa"/>
            <w:shd w:val="clear" w:color="auto" w:fill="FFFFFF" w:themeFill="background1"/>
          </w:tcPr>
          <w:p w14:paraId="34C63D75" w14:textId="77777777" w:rsidR="002153A8" w:rsidRPr="002153A8" w:rsidRDefault="002153A8" w:rsidP="00CE45B5">
            <w:pPr>
              <w:pStyle w:val="TabellentextrechtsbndigI"/>
              <w:keepNext w:val="0"/>
              <w:keepLines w:val="0"/>
              <w:spacing w:before="0"/>
              <w:jc w:val="center"/>
              <w:rPr>
                <w:rFonts w:asciiTheme="majorHAnsi" w:hAnsiTheme="majorHAnsi" w:cstheme="majorHAnsi"/>
                <w:b/>
              </w:rPr>
            </w:pPr>
            <w:r>
              <w:rPr>
                <w:rFonts w:asciiTheme="majorHAnsi" w:hAnsiTheme="majorHAnsi"/>
                <w:b/>
              </w:rPr>
              <w:t>Përshkrimi</w:t>
            </w:r>
          </w:p>
        </w:tc>
      </w:tr>
      <w:tr w:rsidR="002153A8" w:rsidRPr="002153A8" w14:paraId="34C63D79" w14:textId="77777777" w:rsidTr="00DD11E1">
        <w:tc>
          <w:tcPr>
            <w:tcW w:w="1165" w:type="dxa"/>
          </w:tcPr>
          <w:p w14:paraId="34C63D77" w14:textId="77777777" w:rsidR="002153A8" w:rsidRPr="002153A8" w:rsidRDefault="002153A8" w:rsidP="00CE45B5">
            <w:pPr>
              <w:pStyle w:val="TabellentextlinksbndigI"/>
              <w:keepNext w:val="0"/>
              <w:keepLines w:val="0"/>
              <w:spacing w:before="0"/>
              <w:rPr>
                <w:rFonts w:asciiTheme="majorHAnsi" w:hAnsiTheme="majorHAnsi" w:cstheme="majorHAnsi"/>
              </w:rPr>
            </w:pPr>
            <w:r>
              <w:rPr>
                <w:rFonts w:asciiTheme="majorHAnsi" w:hAnsiTheme="majorHAnsi"/>
              </w:rPr>
              <w:t>Objektivi dhe përshkrimi</w:t>
            </w:r>
          </w:p>
        </w:tc>
        <w:tc>
          <w:tcPr>
            <w:tcW w:w="8190" w:type="dxa"/>
            <w:tcBorders>
              <w:right w:val="single" w:sz="4" w:space="0" w:color="auto"/>
            </w:tcBorders>
          </w:tcPr>
          <w:p w14:paraId="34C63D78" w14:textId="038B3DEC" w:rsidR="002153A8" w:rsidRPr="002153A8" w:rsidRDefault="00AE1BE3" w:rsidP="00CE45B5">
            <w:pPr>
              <w:pStyle w:val="TabellentextrechtsbndigI"/>
              <w:keepNext w:val="0"/>
              <w:keepLines w:val="0"/>
              <w:spacing w:before="0"/>
              <w:jc w:val="both"/>
              <w:rPr>
                <w:rFonts w:asciiTheme="majorHAnsi" w:hAnsiTheme="majorHAnsi" w:cstheme="majorHAnsi"/>
                <w:color w:val="000000"/>
              </w:rPr>
            </w:pPr>
            <w:r>
              <w:rPr>
                <w:rFonts w:asciiTheme="majorHAnsi" w:hAnsiTheme="majorHAnsi"/>
                <w:color w:val="000000"/>
              </w:rPr>
              <w:t>Mbajtja e shkarkimeve të gazeve me efekt serrë (GES) nën 9195 kiloton CO₂ ekuivalent (ktCO₂eq) brenda vitit 2035 për të kufizuar rritjen e shkarkimeve me 17,4% krahasuar me vitin bazë (1990)</w:t>
            </w:r>
          </w:p>
        </w:tc>
      </w:tr>
      <w:tr w:rsidR="002153A8" w:rsidRPr="002153A8" w14:paraId="34C63D7C" w14:textId="77777777" w:rsidTr="00DD11E1">
        <w:tc>
          <w:tcPr>
            <w:tcW w:w="1165" w:type="dxa"/>
          </w:tcPr>
          <w:p w14:paraId="34C63D7A" w14:textId="77777777" w:rsidR="002153A8" w:rsidRPr="002153A8" w:rsidRDefault="002153A8" w:rsidP="00CE45B5">
            <w:pPr>
              <w:pStyle w:val="TabellentextlinksbndigI"/>
              <w:keepNext w:val="0"/>
              <w:keepLines w:val="0"/>
              <w:spacing w:before="0"/>
              <w:rPr>
                <w:rFonts w:asciiTheme="majorHAnsi" w:hAnsiTheme="majorHAnsi" w:cstheme="majorHAnsi"/>
              </w:rPr>
            </w:pPr>
            <w:r>
              <w:rPr>
                <w:rFonts w:asciiTheme="majorHAnsi" w:hAnsiTheme="majorHAnsi"/>
              </w:rPr>
              <w:t>Lloji i objektivit</w:t>
            </w:r>
          </w:p>
        </w:tc>
        <w:tc>
          <w:tcPr>
            <w:tcW w:w="8190" w:type="dxa"/>
            <w:tcBorders>
              <w:right w:val="single" w:sz="4" w:space="0" w:color="auto"/>
            </w:tcBorders>
          </w:tcPr>
          <w:p w14:paraId="34C63D7B" w14:textId="77777777" w:rsidR="002153A8" w:rsidRPr="002153A8" w:rsidRDefault="00AE1BE3" w:rsidP="00CE45B5">
            <w:pPr>
              <w:pStyle w:val="TabellentextrechtsbndigI"/>
              <w:keepNext w:val="0"/>
              <w:keepLines w:val="0"/>
              <w:spacing w:before="0"/>
              <w:jc w:val="both"/>
              <w:rPr>
                <w:rFonts w:asciiTheme="majorHAnsi" w:hAnsiTheme="majorHAnsi" w:cstheme="majorHAnsi"/>
                <w:color w:val="000000"/>
              </w:rPr>
            </w:pPr>
            <w:r>
              <w:rPr>
                <w:rFonts w:asciiTheme="majorHAnsi" w:hAnsiTheme="majorHAnsi"/>
                <w:color w:val="000000"/>
              </w:rPr>
              <w:t>Objektiv njëvjeçar për t'u arritur në një vit specifik krahasuar me vitin fillestar</w:t>
            </w:r>
          </w:p>
        </w:tc>
      </w:tr>
      <w:tr w:rsidR="002153A8" w:rsidRPr="002153A8" w14:paraId="34C63D7F" w14:textId="77777777" w:rsidTr="00DD11E1">
        <w:tc>
          <w:tcPr>
            <w:tcW w:w="1165" w:type="dxa"/>
          </w:tcPr>
          <w:p w14:paraId="34C63D7D" w14:textId="77777777" w:rsidR="002153A8" w:rsidRPr="002153A8" w:rsidRDefault="002153A8" w:rsidP="00CE45B5">
            <w:pPr>
              <w:pStyle w:val="TabellentextlinksbndigI"/>
              <w:keepNext w:val="0"/>
              <w:keepLines w:val="0"/>
              <w:spacing w:before="0"/>
              <w:rPr>
                <w:rFonts w:asciiTheme="majorHAnsi" w:hAnsiTheme="majorHAnsi" w:cstheme="majorHAnsi"/>
              </w:rPr>
            </w:pPr>
            <w:r>
              <w:rPr>
                <w:rFonts w:asciiTheme="majorHAnsi" w:hAnsiTheme="majorHAnsi"/>
              </w:rPr>
              <w:t>Viti i synuar</w:t>
            </w:r>
          </w:p>
        </w:tc>
        <w:tc>
          <w:tcPr>
            <w:tcW w:w="8190" w:type="dxa"/>
            <w:tcBorders>
              <w:right w:val="single" w:sz="4" w:space="0" w:color="auto"/>
            </w:tcBorders>
          </w:tcPr>
          <w:p w14:paraId="34C63D7E" w14:textId="0FD34C1F" w:rsidR="002153A8" w:rsidRPr="002153A8" w:rsidRDefault="002153A8" w:rsidP="00CE45B5">
            <w:pPr>
              <w:pStyle w:val="TabellentextrechtsbndigI"/>
              <w:keepNext w:val="0"/>
              <w:keepLines w:val="0"/>
              <w:spacing w:before="0"/>
              <w:jc w:val="both"/>
              <w:rPr>
                <w:rFonts w:asciiTheme="majorHAnsi" w:hAnsiTheme="majorHAnsi" w:cstheme="majorHAnsi"/>
                <w:color w:val="000000"/>
              </w:rPr>
            </w:pPr>
            <w:r>
              <w:rPr>
                <w:rFonts w:asciiTheme="majorHAnsi" w:hAnsiTheme="majorHAnsi"/>
                <w:color w:val="000000"/>
              </w:rPr>
              <w:t>2035 (objektiv njëvjeçar)</w:t>
            </w:r>
          </w:p>
        </w:tc>
      </w:tr>
      <w:tr w:rsidR="002153A8" w:rsidRPr="002153A8" w14:paraId="34C63D82" w14:textId="77777777" w:rsidTr="00DD11E1">
        <w:tc>
          <w:tcPr>
            <w:tcW w:w="1165" w:type="dxa"/>
          </w:tcPr>
          <w:p w14:paraId="34C63D80" w14:textId="77777777" w:rsidR="002153A8" w:rsidRPr="002153A8" w:rsidRDefault="002153A8" w:rsidP="00CE45B5">
            <w:pPr>
              <w:pStyle w:val="TabellentextlinksbndigI"/>
              <w:keepNext w:val="0"/>
              <w:keepLines w:val="0"/>
              <w:spacing w:before="0"/>
              <w:rPr>
                <w:rFonts w:asciiTheme="majorHAnsi" w:hAnsiTheme="majorHAnsi" w:cstheme="majorHAnsi"/>
              </w:rPr>
            </w:pPr>
            <w:r>
              <w:rPr>
                <w:rFonts w:asciiTheme="majorHAnsi" w:hAnsiTheme="majorHAnsi"/>
              </w:rPr>
              <w:t>Viti bazë</w:t>
            </w:r>
          </w:p>
        </w:tc>
        <w:tc>
          <w:tcPr>
            <w:tcW w:w="8190" w:type="dxa"/>
            <w:tcBorders>
              <w:right w:val="single" w:sz="4" w:space="0" w:color="auto"/>
            </w:tcBorders>
          </w:tcPr>
          <w:p w14:paraId="34C63D81" w14:textId="77777777" w:rsidR="002153A8" w:rsidRPr="002153A8" w:rsidRDefault="00AE1BE3" w:rsidP="00CE45B5">
            <w:pPr>
              <w:pStyle w:val="TabellentextrechtsbndigI"/>
              <w:keepNext w:val="0"/>
              <w:keepLines w:val="0"/>
              <w:spacing w:before="0"/>
              <w:jc w:val="both"/>
              <w:rPr>
                <w:rFonts w:asciiTheme="majorHAnsi" w:hAnsiTheme="majorHAnsi" w:cstheme="majorHAnsi"/>
                <w:color w:val="000000"/>
              </w:rPr>
            </w:pPr>
            <w:r>
              <w:rPr>
                <w:rFonts w:asciiTheme="majorHAnsi" w:hAnsiTheme="majorHAnsi"/>
                <w:color w:val="000000"/>
              </w:rPr>
              <w:t>1990</w:t>
            </w:r>
          </w:p>
        </w:tc>
      </w:tr>
      <w:tr w:rsidR="00AE1BE3" w:rsidRPr="002153A8" w14:paraId="34C63D85" w14:textId="77777777" w:rsidTr="00DD11E1">
        <w:tc>
          <w:tcPr>
            <w:tcW w:w="1165" w:type="dxa"/>
          </w:tcPr>
          <w:p w14:paraId="34C63D83" w14:textId="77777777" w:rsidR="00AE1BE3" w:rsidRPr="002153A8" w:rsidRDefault="00AE1BE3" w:rsidP="00CE45B5">
            <w:pPr>
              <w:pStyle w:val="TabellentextlinksbndigI"/>
              <w:keepNext w:val="0"/>
              <w:keepLines w:val="0"/>
              <w:spacing w:before="0"/>
              <w:rPr>
                <w:rFonts w:asciiTheme="majorHAnsi" w:hAnsiTheme="majorHAnsi" w:cstheme="majorHAnsi"/>
              </w:rPr>
            </w:pPr>
            <w:r>
              <w:rPr>
                <w:rFonts w:asciiTheme="majorHAnsi" w:hAnsiTheme="majorHAnsi"/>
              </w:rPr>
              <w:lastRenderedPageBreak/>
              <w:t>Shkarkimet e GES-ve në vitin bazë</w:t>
            </w:r>
          </w:p>
        </w:tc>
        <w:tc>
          <w:tcPr>
            <w:tcW w:w="8190" w:type="dxa"/>
            <w:tcBorders>
              <w:right w:val="single" w:sz="4" w:space="0" w:color="auto"/>
            </w:tcBorders>
          </w:tcPr>
          <w:p w14:paraId="34C63D84" w14:textId="77777777" w:rsidR="00AE1BE3" w:rsidRDefault="00AE1BE3" w:rsidP="00CE45B5">
            <w:pPr>
              <w:pStyle w:val="TabellentextrechtsbndigI"/>
              <w:keepNext w:val="0"/>
              <w:keepLines w:val="0"/>
              <w:spacing w:before="0"/>
              <w:jc w:val="both"/>
              <w:rPr>
                <w:rFonts w:asciiTheme="majorHAnsi" w:hAnsiTheme="majorHAnsi" w:cstheme="majorHAnsi"/>
                <w:color w:val="000000"/>
              </w:rPr>
            </w:pPr>
            <w:r>
              <w:rPr>
                <w:rFonts w:asciiTheme="majorHAnsi" w:hAnsiTheme="majorHAnsi"/>
              </w:rPr>
              <w:t>7834,07 ktCO₂eq</w:t>
            </w:r>
          </w:p>
        </w:tc>
      </w:tr>
      <w:tr w:rsidR="002153A8" w:rsidRPr="002153A8" w14:paraId="34C63D88" w14:textId="77777777" w:rsidTr="00DD11E1">
        <w:tc>
          <w:tcPr>
            <w:tcW w:w="1165" w:type="dxa"/>
          </w:tcPr>
          <w:p w14:paraId="34C63D86" w14:textId="77777777" w:rsidR="002153A8" w:rsidRPr="002153A8" w:rsidRDefault="002153A8" w:rsidP="00CE45B5">
            <w:pPr>
              <w:pStyle w:val="TabellentextlinksbndigI"/>
              <w:keepNext w:val="0"/>
              <w:keepLines w:val="0"/>
              <w:spacing w:before="0"/>
              <w:rPr>
                <w:rFonts w:asciiTheme="majorHAnsi" w:hAnsiTheme="majorHAnsi" w:cstheme="majorHAnsi"/>
              </w:rPr>
            </w:pPr>
            <w:r>
              <w:rPr>
                <w:rFonts w:asciiTheme="majorHAnsi" w:hAnsiTheme="majorHAnsi"/>
              </w:rPr>
              <w:t>Periudha e zbatimit</w:t>
            </w:r>
          </w:p>
        </w:tc>
        <w:tc>
          <w:tcPr>
            <w:tcW w:w="8190" w:type="dxa"/>
            <w:tcBorders>
              <w:right w:val="single" w:sz="4" w:space="0" w:color="auto"/>
            </w:tcBorders>
          </w:tcPr>
          <w:p w14:paraId="34C63D87" w14:textId="77777777" w:rsidR="002153A8" w:rsidRPr="002153A8" w:rsidRDefault="002153A8" w:rsidP="00CE45B5">
            <w:pPr>
              <w:pStyle w:val="TabellentextrechtsbndigI"/>
              <w:keepNext w:val="0"/>
              <w:keepLines w:val="0"/>
              <w:spacing w:before="0"/>
              <w:jc w:val="both"/>
              <w:rPr>
                <w:rFonts w:asciiTheme="majorHAnsi" w:hAnsiTheme="majorHAnsi" w:cstheme="majorHAnsi"/>
                <w:color w:val="000000"/>
              </w:rPr>
            </w:pPr>
            <w:r>
              <w:rPr>
                <w:rFonts w:asciiTheme="majorHAnsi" w:hAnsiTheme="majorHAnsi"/>
                <w:color w:val="000000"/>
              </w:rPr>
              <w:t>2025-2035</w:t>
            </w:r>
          </w:p>
        </w:tc>
      </w:tr>
      <w:tr w:rsidR="002153A8" w:rsidRPr="002153A8" w14:paraId="34C63D8B" w14:textId="77777777" w:rsidTr="00DD11E1">
        <w:tc>
          <w:tcPr>
            <w:tcW w:w="1165" w:type="dxa"/>
          </w:tcPr>
          <w:p w14:paraId="34C63D89" w14:textId="77777777" w:rsidR="002153A8" w:rsidRPr="002153A8" w:rsidRDefault="002153A8" w:rsidP="00CE45B5">
            <w:pPr>
              <w:pStyle w:val="TabellentextlinksbndigI"/>
              <w:keepNext w:val="0"/>
              <w:keepLines w:val="0"/>
              <w:spacing w:before="0"/>
              <w:rPr>
                <w:rFonts w:asciiTheme="majorHAnsi" w:hAnsiTheme="majorHAnsi" w:cstheme="majorHAnsi"/>
              </w:rPr>
            </w:pPr>
            <w:r>
              <w:rPr>
                <w:rFonts w:asciiTheme="majorHAnsi" w:hAnsiTheme="majorHAnsi"/>
              </w:rPr>
              <w:t>Sektorët</w:t>
            </w:r>
          </w:p>
        </w:tc>
        <w:tc>
          <w:tcPr>
            <w:tcW w:w="8190" w:type="dxa"/>
            <w:tcBorders>
              <w:right w:val="single" w:sz="4" w:space="0" w:color="auto"/>
            </w:tcBorders>
          </w:tcPr>
          <w:p w14:paraId="34C63D8A" w14:textId="23FA7001" w:rsidR="002153A8" w:rsidRPr="002153A8" w:rsidRDefault="00AE1BE3" w:rsidP="00AE1BE3">
            <w:pPr>
              <w:pStyle w:val="TabellentextrechtsbndigI"/>
              <w:keepNext w:val="0"/>
              <w:spacing w:before="0"/>
              <w:jc w:val="left"/>
              <w:rPr>
                <w:rFonts w:asciiTheme="majorHAnsi" w:hAnsiTheme="majorHAnsi" w:cstheme="majorHAnsi"/>
                <w:color w:val="000000"/>
              </w:rPr>
            </w:pPr>
            <w:r>
              <w:rPr>
                <w:rFonts w:asciiTheme="majorHAnsi" w:hAnsiTheme="majorHAnsi"/>
                <w:color w:val="000000"/>
              </w:rPr>
              <w:t>KKP-ja e Shqipërisë mbulon të gjithë sektorët kombëtarë që janë raportuar aktualisht në RIK (Raporti i Inventarit Kombëtar)</w:t>
            </w:r>
          </w:p>
        </w:tc>
      </w:tr>
      <w:tr w:rsidR="002153A8" w:rsidRPr="002153A8" w14:paraId="34C63D90" w14:textId="77777777" w:rsidTr="00DD11E1">
        <w:tc>
          <w:tcPr>
            <w:tcW w:w="1165" w:type="dxa"/>
          </w:tcPr>
          <w:p w14:paraId="34C63D8C" w14:textId="77777777" w:rsidR="002153A8" w:rsidRPr="002153A8" w:rsidRDefault="002153A8" w:rsidP="00CE45B5">
            <w:pPr>
              <w:pStyle w:val="TabellentextlinksbndigI"/>
              <w:keepNext w:val="0"/>
              <w:keepLines w:val="0"/>
              <w:spacing w:before="0"/>
              <w:rPr>
                <w:rFonts w:asciiTheme="majorHAnsi" w:hAnsiTheme="majorHAnsi" w:cstheme="majorHAnsi"/>
              </w:rPr>
            </w:pPr>
            <w:r>
              <w:rPr>
                <w:rFonts w:asciiTheme="majorHAnsi" w:hAnsiTheme="majorHAnsi"/>
              </w:rPr>
              <w:t>Gazet</w:t>
            </w:r>
          </w:p>
        </w:tc>
        <w:tc>
          <w:tcPr>
            <w:tcW w:w="8190" w:type="dxa"/>
            <w:tcBorders>
              <w:right w:val="single" w:sz="4" w:space="0" w:color="auto"/>
            </w:tcBorders>
          </w:tcPr>
          <w:p w14:paraId="34C63D8D" w14:textId="77777777" w:rsidR="00AE1BE3" w:rsidRPr="00AE1BE3" w:rsidRDefault="002153A8" w:rsidP="00AE1BE3">
            <w:pPr>
              <w:pStyle w:val="TabellentextrechtsbndigI"/>
              <w:keepNext w:val="0"/>
              <w:keepLines w:val="0"/>
              <w:spacing w:before="0"/>
              <w:jc w:val="both"/>
              <w:rPr>
                <w:rFonts w:asciiTheme="majorHAnsi" w:hAnsiTheme="majorHAnsi" w:cstheme="majorHAnsi"/>
              </w:rPr>
            </w:pPr>
            <w:r>
              <w:rPr>
                <w:rFonts w:asciiTheme="majorHAnsi" w:hAnsiTheme="majorHAnsi"/>
              </w:rPr>
              <w:t>Dyoksidi i karbonit (CO</w:t>
            </w:r>
            <w:r>
              <w:rPr>
                <w:rFonts w:asciiTheme="majorHAnsi" w:hAnsiTheme="majorHAnsi"/>
                <w:vertAlign w:val="subscript"/>
              </w:rPr>
              <w:t>2</w:t>
            </w:r>
            <w:r>
              <w:rPr>
                <w:rFonts w:asciiTheme="majorHAnsi" w:hAnsiTheme="majorHAnsi"/>
              </w:rPr>
              <w:t>), metani (CH</w:t>
            </w:r>
            <w:r>
              <w:rPr>
                <w:rFonts w:asciiTheme="majorHAnsi" w:hAnsiTheme="majorHAnsi"/>
                <w:vertAlign w:val="subscript"/>
              </w:rPr>
              <w:t>4</w:t>
            </w:r>
            <w:r>
              <w:rPr>
                <w:rFonts w:asciiTheme="majorHAnsi" w:hAnsiTheme="majorHAnsi"/>
              </w:rPr>
              <w:t>), oksidi i azotit (N</w:t>
            </w:r>
            <w:r>
              <w:rPr>
                <w:rFonts w:asciiTheme="majorHAnsi" w:hAnsiTheme="majorHAnsi"/>
                <w:vertAlign w:val="subscript"/>
              </w:rPr>
              <w:t>2</w:t>
            </w:r>
            <w:r>
              <w:rPr>
                <w:rFonts w:asciiTheme="majorHAnsi" w:hAnsiTheme="majorHAnsi"/>
              </w:rPr>
              <w:t>O) dhe HFC-të</w:t>
            </w:r>
          </w:p>
          <w:p w14:paraId="34C63D8F" w14:textId="381BFC62" w:rsidR="002153A8" w:rsidRPr="005C58EC" w:rsidRDefault="00387652" w:rsidP="00CE45B5">
            <w:pPr>
              <w:pStyle w:val="TabellentextrechtsbndigI"/>
              <w:keepNext w:val="0"/>
              <w:keepLines w:val="0"/>
              <w:spacing w:before="0"/>
              <w:jc w:val="both"/>
              <w:rPr>
                <w:rFonts w:asciiTheme="majorHAnsi" w:hAnsiTheme="majorHAnsi" w:cstheme="majorHAnsi"/>
              </w:rPr>
            </w:pPr>
            <w:r>
              <w:rPr>
                <w:rFonts w:asciiTheme="majorHAnsi" w:hAnsiTheme="majorHAnsi"/>
              </w:rPr>
              <w:t>PFC-të, SF6 dhe NF3 nuk mbulohen pasi konsiderohen të papërfillshme.</w:t>
            </w:r>
          </w:p>
        </w:tc>
      </w:tr>
      <w:tr w:rsidR="002153A8" w:rsidRPr="002153A8" w14:paraId="34C63D93" w14:textId="77777777" w:rsidTr="00DD11E1">
        <w:tc>
          <w:tcPr>
            <w:tcW w:w="1165" w:type="dxa"/>
          </w:tcPr>
          <w:p w14:paraId="34C63D91" w14:textId="77777777" w:rsidR="002153A8" w:rsidRPr="002153A8" w:rsidRDefault="002153A8" w:rsidP="00CE45B5">
            <w:pPr>
              <w:pStyle w:val="TabellentextlinksbndigI"/>
              <w:keepNext w:val="0"/>
              <w:keepLines w:val="0"/>
              <w:spacing w:before="0"/>
              <w:rPr>
                <w:rFonts w:asciiTheme="majorHAnsi" w:hAnsiTheme="majorHAnsi" w:cstheme="majorHAnsi"/>
              </w:rPr>
            </w:pPr>
            <w:r>
              <w:rPr>
                <w:rFonts w:asciiTheme="majorHAnsi" w:hAnsiTheme="majorHAnsi"/>
              </w:rPr>
              <w:t>Kategoritë dhe rezervat e PTNPTP-së</w:t>
            </w:r>
          </w:p>
        </w:tc>
        <w:tc>
          <w:tcPr>
            <w:tcW w:w="8190" w:type="dxa"/>
            <w:tcBorders>
              <w:right w:val="single" w:sz="4" w:space="0" w:color="auto"/>
            </w:tcBorders>
          </w:tcPr>
          <w:p w14:paraId="34C63D92" w14:textId="77777777" w:rsidR="002153A8" w:rsidRPr="002153A8" w:rsidRDefault="002153A8" w:rsidP="00CE45B5">
            <w:pPr>
              <w:pStyle w:val="TabellentextrechtsbndigI"/>
              <w:keepNext w:val="0"/>
              <w:keepLines w:val="0"/>
              <w:spacing w:before="0"/>
              <w:jc w:val="both"/>
              <w:rPr>
                <w:rFonts w:asciiTheme="majorHAnsi" w:hAnsiTheme="majorHAnsi" w:cstheme="majorHAnsi"/>
                <w:color w:val="000000"/>
              </w:rPr>
            </w:pPr>
            <w:r>
              <w:rPr>
                <w:rFonts w:asciiTheme="majorHAnsi" w:hAnsiTheme="majorHAnsi"/>
              </w:rPr>
              <w:t>Kategoritë dhe rezervat e përfshira të PTNPTP-së siç raportohen në RIK</w:t>
            </w:r>
          </w:p>
        </w:tc>
      </w:tr>
      <w:tr w:rsidR="002153A8" w:rsidRPr="002153A8" w14:paraId="34C63D96" w14:textId="77777777" w:rsidTr="00DD11E1">
        <w:tc>
          <w:tcPr>
            <w:tcW w:w="1165" w:type="dxa"/>
          </w:tcPr>
          <w:p w14:paraId="34C63D94" w14:textId="77777777" w:rsidR="002153A8" w:rsidRPr="002153A8" w:rsidRDefault="002153A8" w:rsidP="00CE45B5">
            <w:pPr>
              <w:pStyle w:val="TabellentextlinksbndigI"/>
              <w:keepNext w:val="0"/>
              <w:keepLines w:val="0"/>
              <w:spacing w:before="0"/>
              <w:rPr>
                <w:rFonts w:asciiTheme="majorHAnsi" w:hAnsiTheme="majorHAnsi" w:cstheme="majorHAnsi"/>
              </w:rPr>
            </w:pPr>
            <w:bookmarkStart w:id="15" w:name="_Hlk178180066"/>
            <w:r>
              <w:rPr>
                <w:rFonts w:asciiTheme="majorHAnsi" w:hAnsiTheme="majorHAnsi"/>
              </w:rPr>
              <w:t>Qëllimi për përdorimin e qasjeve të bashkëpunimit</w:t>
            </w:r>
          </w:p>
        </w:tc>
        <w:tc>
          <w:tcPr>
            <w:tcW w:w="8190" w:type="dxa"/>
            <w:tcBorders>
              <w:right w:val="single" w:sz="4" w:space="0" w:color="auto"/>
            </w:tcBorders>
          </w:tcPr>
          <w:p w14:paraId="34C63D95" w14:textId="77777777" w:rsidR="00AE1BE3" w:rsidRPr="002153A8" w:rsidRDefault="00AE1BE3" w:rsidP="00AE1BE3">
            <w:pPr>
              <w:pStyle w:val="TabellentextlinksbndigI"/>
              <w:keepNext w:val="0"/>
              <w:keepLines w:val="0"/>
              <w:spacing w:before="0"/>
              <w:rPr>
                <w:rFonts w:asciiTheme="majorHAnsi" w:hAnsiTheme="majorHAnsi" w:cstheme="majorHAnsi"/>
              </w:rPr>
            </w:pPr>
            <w:r>
              <w:rPr>
                <w:rFonts w:asciiTheme="majorHAnsi" w:hAnsiTheme="majorHAnsi"/>
              </w:rPr>
              <w:t>Objektivi i KKP-së së Shqipërisë do të plotësohet vetëm përmes masave kombëtare, pa përdorimin e krediteve ndërkombëtare. Megjithatë, Shqipëria planifikon të angazhohet në bashkëpunim vullnetar sipas nenit 6 të Marrëveshjes së Parisit duke shitur kreditet e karbonit deri në vitin 2035 për të mbështetur zhvillimin me kosto efektive dhe me shkarkime të ulëta. Gjithashtu, po planifikohet një Sistem i ri për Tregtimin e Shkarkimeve (ETS), i harmonizuar me standardet e BE-së dhe që mund të lidhet me ETS-në e BE-së.</w:t>
            </w:r>
          </w:p>
        </w:tc>
      </w:tr>
      <w:bookmarkEnd w:id="15"/>
      <w:tr w:rsidR="002153A8" w:rsidRPr="002153A8" w14:paraId="34C63D99" w14:textId="77777777" w:rsidTr="00DD11E1">
        <w:trPr>
          <w:trHeight w:val="581"/>
        </w:trPr>
        <w:tc>
          <w:tcPr>
            <w:tcW w:w="1165" w:type="dxa"/>
          </w:tcPr>
          <w:p w14:paraId="34C63D97" w14:textId="5A175CB6" w:rsidR="002153A8" w:rsidRPr="002153A8" w:rsidRDefault="002153A8" w:rsidP="00CE45B5">
            <w:pPr>
              <w:pStyle w:val="TableParagraph"/>
              <w:spacing w:before="55" w:line="232" w:lineRule="auto"/>
              <w:rPr>
                <w:rFonts w:asciiTheme="majorHAnsi" w:hAnsiTheme="majorHAnsi" w:cstheme="majorHAnsi"/>
                <w:i/>
                <w:sz w:val="9"/>
              </w:rPr>
            </w:pPr>
            <w:r>
              <w:rPr>
                <w:rFonts w:asciiTheme="majorHAnsi" w:hAnsiTheme="majorHAnsi"/>
                <w:sz w:val="20"/>
              </w:rPr>
              <w:t xml:space="preserve">Çdo </w:t>
            </w:r>
            <w:r>
              <w:rPr>
                <w:rFonts w:asciiTheme="majorHAnsi" w:hAnsiTheme="majorHAnsi"/>
                <w:sz w:val="20"/>
                <w:szCs w:val="20"/>
              </w:rPr>
              <w:t>përditësim apo sqarim rreth informacionit të raportuar më parë, sipas rastit</w:t>
            </w:r>
          </w:p>
        </w:tc>
        <w:tc>
          <w:tcPr>
            <w:tcW w:w="8190" w:type="dxa"/>
          </w:tcPr>
          <w:p w14:paraId="45BBEE8F" w14:textId="77777777" w:rsidR="002153A8" w:rsidRDefault="00AE1BE3" w:rsidP="00CE45B5">
            <w:pPr>
              <w:pStyle w:val="TableParagraph"/>
              <w:spacing w:after="60"/>
              <w:ind w:right="147"/>
              <w:jc w:val="both"/>
              <w:rPr>
                <w:rFonts w:asciiTheme="majorHAnsi" w:hAnsiTheme="majorHAnsi" w:cstheme="majorHAnsi"/>
                <w:bCs/>
                <w:iCs/>
                <w:sz w:val="20"/>
                <w:szCs w:val="20"/>
              </w:rPr>
            </w:pPr>
            <w:r>
              <w:rPr>
                <w:rFonts w:asciiTheme="majorHAnsi" w:hAnsiTheme="majorHAnsi"/>
                <w:bCs/>
                <w:iCs/>
                <w:sz w:val="20"/>
                <w:szCs w:val="20"/>
              </w:rPr>
              <w:t>Treguesi i referencës për gjurmimin e progresit të zbatimit të KKP-së do të matet duke përdorur nivelet totale kombëtare të raportuara në Raportin e Inventarit Kombëtar të Shqipërisë. Këto vlera mund të përditësohen për të pasqyruar përmirësimet metodologjike në inventarin e gazeve me efekt serrë (GES).</w:t>
            </w:r>
          </w:p>
          <w:p w14:paraId="0CEEF6D1" w14:textId="77777777" w:rsidR="00A21CC7" w:rsidRPr="00376025" w:rsidRDefault="00A21CC7" w:rsidP="00CE45B5">
            <w:pPr>
              <w:pStyle w:val="TableParagraph"/>
              <w:spacing w:after="60"/>
              <w:ind w:right="147"/>
              <w:jc w:val="both"/>
              <w:rPr>
                <w:rFonts w:asciiTheme="majorHAnsi" w:hAnsiTheme="majorHAnsi" w:cstheme="majorHAnsi"/>
                <w:bCs/>
                <w:iCs/>
                <w:sz w:val="20"/>
                <w:szCs w:val="20"/>
              </w:rPr>
            </w:pPr>
          </w:p>
          <w:p w14:paraId="34C63D98" w14:textId="04F49D6B" w:rsidR="00A21CC7" w:rsidRPr="002153A8" w:rsidRDefault="00A21CC7" w:rsidP="00CE45B5">
            <w:pPr>
              <w:pStyle w:val="TableParagraph"/>
              <w:spacing w:after="60"/>
              <w:ind w:right="147"/>
              <w:jc w:val="both"/>
              <w:rPr>
                <w:rFonts w:asciiTheme="majorHAnsi" w:hAnsiTheme="majorHAnsi" w:cstheme="majorHAnsi"/>
                <w:bCs/>
                <w:iCs/>
                <w:sz w:val="20"/>
                <w:szCs w:val="20"/>
              </w:rPr>
            </w:pPr>
            <w:r>
              <w:rPr>
                <w:rFonts w:asciiTheme="majorHAnsi" w:hAnsiTheme="majorHAnsi"/>
                <w:bCs/>
                <w:iCs/>
                <w:sz w:val="20"/>
                <w:szCs w:val="20"/>
              </w:rPr>
              <w:t>Arritja e objektivit për zbutjen brenda vitit 2035, si dhe e objektivit të ndërmjetëm të përditësuar për vitin 2030, të parashikuar në PKEK 2025, do të kërkojë zbatim të plotë dhe financim të përshtatshëm të të gjitha masave për zbutjen të përfshira në PKEK 2025.</w:t>
            </w:r>
          </w:p>
        </w:tc>
      </w:tr>
    </w:tbl>
    <w:p w14:paraId="55CD51EC" w14:textId="77777777" w:rsidR="00DD11E1" w:rsidRPr="00376025" w:rsidRDefault="00DD11E1" w:rsidP="00213150">
      <w:pPr>
        <w:pStyle w:val="BodyText"/>
        <w:jc w:val="both"/>
        <w:rPr>
          <w:rFonts w:asciiTheme="majorHAnsi" w:hAnsiTheme="majorHAnsi" w:cstheme="majorHAnsi"/>
        </w:rPr>
      </w:pPr>
    </w:p>
    <w:p w14:paraId="34C63D9B" w14:textId="77777777" w:rsidR="00213150" w:rsidRDefault="00213150" w:rsidP="00213150">
      <w:pPr>
        <w:pStyle w:val="Heading2"/>
        <w:spacing w:before="120"/>
        <w:rPr>
          <w:rFonts w:asciiTheme="majorHAnsi" w:hAnsiTheme="majorHAnsi" w:cstheme="majorHAnsi"/>
        </w:rPr>
      </w:pPr>
      <w:bookmarkStart w:id="16" w:name="_Toc216778858"/>
      <w:r>
        <w:rPr>
          <w:rFonts w:asciiTheme="majorHAnsi" w:hAnsiTheme="majorHAnsi"/>
        </w:rPr>
        <w:t>4.2 Krahasimi me objektivin e mëparshëm të KKP-së</w:t>
      </w:r>
      <w:bookmarkEnd w:id="16"/>
    </w:p>
    <w:p w14:paraId="34C63D9C" w14:textId="0CE6BD31" w:rsidR="0044566A" w:rsidRPr="0044566A" w:rsidRDefault="0044566A" w:rsidP="0044566A">
      <w:pPr>
        <w:pStyle w:val="BodyText"/>
        <w:jc w:val="both"/>
        <w:rPr>
          <w:rFonts w:asciiTheme="majorHAnsi" w:hAnsiTheme="majorHAnsi" w:cstheme="majorHAnsi"/>
        </w:rPr>
      </w:pPr>
      <w:r>
        <w:rPr>
          <w:rFonts w:asciiTheme="majorHAnsi" w:hAnsiTheme="majorHAnsi"/>
        </w:rPr>
        <w:t>Shqipëria ka rishikuar strukturën dhe metodologjinë e objektivit të Kontributit të saj Kombëtar të Përcaktuar (KKP) për të përmirësuar qartësinë dhe harmonizimin me standardet ndërkombëtare. Qasja e përditësuar kalon nga objektivi njëvjeçar i bazuar në skenarin e punës si zakonisht (BaU) në një objektiv të mbështetur në vitin historik bazë, i cili është viti bazë i Konventës, përkatësisht 1990. Ky kalim pasqyron një përmirësim të konsiderueshëm metodologjik. Në vend që t'i referohet një trajektoreje hipotetike të shkarkimeve në të ardhmen, objektivi tanimë bazohet në një vlerë referencë historike të verifikuar. Kjo përmirëson transparencën dhe krahasueshmërinë e angazhimeve të Shqipërisë, si dhe përshtatshmërinë metodologjike të tyre, duke lejuar matje më të qarta të progresit kundrejt një vlere të njohur.</w:t>
      </w:r>
    </w:p>
    <w:p w14:paraId="34C63D9D" w14:textId="0E63C269" w:rsidR="0044566A" w:rsidRPr="0044566A" w:rsidRDefault="0044566A" w:rsidP="0044566A">
      <w:pPr>
        <w:pStyle w:val="BodyText"/>
        <w:jc w:val="both"/>
        <w:rPr>
          <w:rFonts w:asciiTheme="majorHAnsi" w:hAnsiTheme="majorHAnsi" w:cstheme="majorHAnsi"/>
        </w:rPr>
      </w:pPr>
      <w:r>
        <w:rPr>
          <w:rFonts w:asciiTheme="majorHAnsi" w:hAnsiTheme="majorHAnsi"/>
        </w:rPr>
        <w:t>KKP-ja e përditësuar përfaqëson gjithashtu një angazhim më ambicioz (</w:t>
      </w:r>
      <w:r w:rsidR="00387652">
        <w:rPr>
          <w:rFonts w:asciiTheme="majorHAnsi" w:hAnsiTheme="majorHAnsi" w:cstheme="majorHAnsi"/>
        </w:rPr>
        <w:fldChar w:fldCharType="begin"/>
      </w:r>
      <w:r w:rsidR="00CE59C6">
        <w:rPr>
          <w:rFonts w:asciiTheme="majorHAnsi" w:hAnsiTheme="majorHAnsi" w:cstheme="majorHAnsi"/>
        </w:rPr>
        <w:instrText xml:space="preserve"> REF _Ref204971797 \h </w:instrText>
      </w:r>
      <w:r w:rsidR="00387652">
        <w:rPr>
          <w:rFonts w:asciiTheme="majorHAnsi" w:hAnsiTheme="majorHAnsi" w:cstheme="majorHAnsi"/>
        </w:rPr>
      </w:r>
      <w:r w:rsidR="00387652">
        <w:rPr>
          <w:rFonts w:asciiTheme="majorHAnsi" w:hAnsiTheme="majorHAnsi" w:cstheme="majorHAnsi"/>
        </w:rPr>
        <w:fldChar w:fldCharType="separate"/>
      </w:r>
      <w:r w:rsidR="00D0533E">
        <w:t xml:space="preserve">Figura </w:t>
      </w:r>
      <w:r w:rsidR="00D0533E">
        <w:rPr>
          <w:rFonts w:cstheme="majorHAnsi"/>
          <w:noProof/>
        </w:rPr>
        <w:t>1</w:t>
      </w:r>
      <w:r w:rsidR="00387652">
        <w:rPr>
          <w:rFonts w:asciiTheme="majorHAnsi" w:hAnsiTheme="majorHAnsi" w:cstheme="majorHAnsi"/>
        </w:rPr>
        <w:fldChar w:fldCharType="end"/>
      </w:r>
      <w:r>
        <w:rPr>
          <w:rFonts w:asciiTheme="majorHAnsi" w:hAnsiTheme="majorHAnsi"/>
        </w:rPr>
        <w:t xml:space="preserve">) se ai i paraqitur në KKP-në e mëparshme të dorëzuar nga Shqipëria (Tetor 2021). Më parë, vendi ishte zotuar të reduktonte shkarkimet e GES-ve me 20,9% nën nivelin e skenarit BaU, brenda vitit 2030, çka do t'i kufizonte shkarkimet në rreth 11 978 ktCO₂eq. Nga ana tjetër, objektivi i ri cakton një kufi të ndërmjetëm më të ulët për shkarkimet e vitit 2030 në bazë të PKEK 2025, përkatësisht nën 10 210 ktCO₂eq. Ky objektiv përkon me kufizimin e rritjes së shkarkimeve me jo më shumë se 30,3% mbi nivelet e vitit 1990, dhe nuk mbështetet më në projeksionet mbi nivelin e mundshëm të shkarkimeve në mungesë të veprimeve për klimën. Kjo qasje e re jo vetëm që është më në </w:t>
      </w:r>
      <w:r>
        <w:rPr>
          <w:rFonts w:asciiTheme="majorHAnsi" w:hAnsiTheme="majorHAnsi"/>
        </w:rPr>
        <w:lastRenderedPageBreak/>
        <w:t>përputhje me praktikat më të mira sipas Marrëveshjes së Parisit, por pasqyron gjithashtu angazhimin e rritur të Shqipërisë ndaj zbutjes së ndryshimeve klimatike.</w:t>
      </w:r>
    </w:p>
    <w:p w14:paraId="34C63D9E" w14:textId="77777777" w:rsidR="0044566A" w:rsidRPr="0044566A" w:rsidRDefault="0044566A" w:rsidP="0044566A">
      <w:pPr>
        <w:pStyle w:val="BodyText"/>
        <w:jc w:val="both"/>
        <w:rPr>
          <w:rFonts w:asciiTheme="majorHAnsi" w:hAnsiTheme="majorHAnsi" w:cstheme="majorHAnsi"/>
        </w:rPr>
      </w:pPr>
      <w:r>
        <w:rPr>
          <w:rFonts w:asciiTheme="majorHAnsi" w:hAnsiTheme="majorHAnsi"/>
        </w:rPr>
        <w:t>Për të garantuar gjurmim dhe raportim të saktë, treguesi referencë për KKP-në, pra shkarkimet neto të GES-ve, do të matet duke përdorur të dhënat e dorëzuara përmes Raportit të Inventarit Kombëtar (RIK) të Shqipërisë, i cili shoqëron Raportin Dyvjeçar të Transparencës (BTR). Kjo garanton përputhshmërinë me kërkesat ndërkombëtare të raportimit dhe përmirëson llogaridhënien. Ndryshimet që janë bërë në KKP-në e Shqipërisë sinjalizojnë një angazhim ndaj një qeverisjeje më rigoroze kundrejt klimës dhe një gatishmëri për të qenë në përputhje me pritshmëritë e ndryshueshme ndërkombëtare për transparencë dhe ambicie.</w:t>
      </w:r>
    </w:p>
    <w:p w14:paraId="34C63DA1" w14:textId="685864E5" w:rsidR="00186366" w:rsidRDefault="00852E36" w:rsidP="00213150">
      <w:pPr>
        <w:pStyle w:val="BodyText"/>
        <w:jc w:val="both"/>
        <w:rPr>
          <w:rFonts w:asciiTheme="majorHAnsi" w:hAnsiTheme="majorHAnsi" w:cstheme="majorHAnsi"/>
        </w:rPr>
      </w:pPr>
      <w:r>
        <w:rPr>
          <w:noProof/>
          <w:lang w:val="en-US"/>
        </w:rPr>
        <mc:AlternateContent>
          <mc:Choice Requires="wps">
            <w:drawing>
              <wp:anchor distT="45720" distB="45720" distL="114300" distR="114300" simplePos="0" relativeHeight="251612160" behindDoc="0" locked="0" layoutInCell="1" allowOverlap="1" wp14:anchorId="1A900DD1" wp14:editId="498256F6">
                <wp:simplePos x="0" y="0"/>
                <wp:positionH relativeFrom="column">
                  <wp:posOffset>1447800</wp:posOffset>
                </wp:positionH>
                <wp:positionV relativeFrom="paragraph">
                  <wp:posOffset>1525270</wp:posOffset>
                </wp:positionV>
                <wp:extent cx="3876675" cy="50800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508000"/>
                        </a:xfrm>
                        <a:prstGeom prst="rect">
                          <a:avLst/>
                        </a:prstGeom>
                        <a:solidFill>
                          <a:schemeClr val="bg1"/>
                        </a:solidFill>
                        <a:ln w="9525">
                          <a:noFill/>
                          <a:miter lim="800000"/>
                          <a:headEnd/>
                          <a:tailEnd/>
                        </a:ln>
                      </wps:spPr>
                      <wps:txbx>
                        <w:txbxContent>
                          <w:p w14:paraId="1203A90F" w14:textId="0B5FBF99" w:rsidR="00376025" w:rsidRDefault="00376025" w:rsidP="008D3AB2">
                            <w:pPr>
                              <w:spacing w:before="0"/>
                              <w:jc w:val="center"/>
                              <w:rPr>
                                <w:rFonts w:ascii="Calibri" w:hAnsi="Calibri" w:cs="Calibri"/>
                                <w:b/>
                                <w:sz w:val="18"/>
                              </w:rPr>
                            </w:pPr>
                            <w:r>
                              <w:rPr>
                                <w:rFonts w:ascii="Calibri" w:hAnsi="Calibri"/>
                                <w:b/>
                                <w:sz w:val="18"/>
                              </w:rPr>
                              <w:t>Objektivi njëvjeçar për vitin 2035: &lt; 9195 ktCO2eq</w:t>
                            </w:r>
                          </w:p>
                          <w:p w14:paraId="73460416" w14:textId="77777777" w:rsidR="00376025" w:rsidRPr="008D3AB2" w:rsidRDefault="00376025" w:rsidP="008D3AB2">
                            <w:pPr>
                              <w:spacing w:before="0"/>
                              <w:jc w:val="center"/>
                              <w:rPr>
                                <w:rFonts w:ascii="Calibri" w:hAnsi="Calibri" w:cs="Calibri"/>
                                <w:b/>
                                <w:sz w:val="18"/>
                              </w:rPr>
                            </w:pPr>
                          </w:p>
                          <w:p w14:paraId="6AB8253A" w14:textId="3CEC5EBF" w:rsidR="00376025" w:rsidRPr="008D3AB2" w:rsidRDefault="00376025" w:rsidP="008D3AB2">
                            <w:pPr>
                              <w:spacing w:before="0"/>
                              <w:rPr>
                                <w:rFonts w:ascii="Calibri" w:hAnsi="Calibri" w:cs="Calibri"/>
                                <w:b/>
                                <w:sz w:val="18"/>
                              </w:rPr>
                            </w:pPr>
                            <w:r>
                              <w:rPr>
                                <w:rFonts w:ascii="Calibri" w:hAnsi="Calibri"/>
                                <w:b/>
                                <w:sz w:val="18"/>
                              </w:rPr>
                              <w:t>Objektivi i ndërmjetëm i PKEK 2030: &lt; 10 210 ktCO2eq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900DD1" id="_x0000_t202" coordsize="21600,21600" o:spt="202" path="m,l,21600r21600,l21600,xe">
                <v:stroke joinstyle="miter"/>
                <v:path gradientshapeok="t" o:connecttype="rect"/>
              </v:shapetype>
              <v:shape id="Text Box 2" o:spid="_x0000_s1026" type="#_x0000_t202" style="position:absolute;left:0;text-align:left;margin-left:114pt;margin-top:120.1pt;width:305.25pt;height:40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" fillcolor="white [3212]" stroked="f">
                <v:textbox>
                  <w:txbxContent>
                    <w:p w14:paraId="1203A90F" w14:textId="0B5FBF99" w:rsidR="00376025" w:rsidRDefault="00376025" w:rsidP="008D3AB2">
                      <w:pPr>
                        <w:spacing w:before="0"/>
                        <w:jc w:val="center"/>
                        <w:rPr>
                          <w:rFonts w:ascii="Calibri" w:hAnsi="Calibri" w:cs="Calibri"/>
                          <w:b/>
                          <w:sz w:val="18"/>
                        </w:rPr>
                      </w:pPr>
                      <w:r>
                        <w:rPr>
                          <w:rFonts w:ascii="Calibri" w:hAnsi="Calibri"/>
                          <w:b/>
                          <w:sz w:val="18"/>
                        </w:rPr>
                        <w:t>Objektivi njëvjeçar për vitin 2035: &lt; 9195 ktCO2eq</w:t>
                      </w:r>
                    </w:p>
                    <w:p w14:paraId="73460416" w14:textId="77777777" w:rsidR="00376025" w:rsidRPr="008D3AB2" w:rsidRDefault="00376025" w:rsidP="008D3AB2">
                      <w:pPr>
                        <w:spacing w:before="0"/>
                        <w:jc w:val="center"/>
                        <w:rPr>
                          <w:rFonts w:ascii="Calibri" w:hAnsi="Calibri" w:cs="Calibri"/>
                          <w:b/>
                          <w:sz w:val="18"/>
                        </w:rPr>
                      </w:pPr>
                    </w:p>
                    <w:p w14:paraId="6AB8253A" w14:textId="3CEC5EBF" w:rsidR="00376025" w:rsidRPr="008D3AB2" w:rsidRDefault="00376025" w:rsidP="008D3AB2">
                      <w:pPr>
                        <w:spacing w:before="0"/>
                        <w:rPr>
                          <w:rFonts w:ascii="Calibri" w:hAnsi="Calibri" w:cs="Calibri"/>
                          <w:b/>
                          <w:sz w:val="18"/>
                        </w:rPr>
                      </w:pPr>
                      <w:r>
                        <w:rPr>
                          <w:rFonts w:ascii="Calibri" w:hAnsi="Calibri"/>
                          <w:b/>
                          <w:sz w:val="18"/>
                        </w:rPr>
                        <w:t>Objektivi i ndërmjetëm i PKEK 2030: &lt; 10 210 ktCO2eq</w:t>
                      </w:r>
                    </w:p>
                  </w:txbxContent>
                </v:textbox>
              </v:shape>
            </w:pict>
          </mc:Fallback>
        </mc:AlternateContent>
      </w:r>
      <w:r>
        <w:rPr>
          <w:noProof/>
          <w:lang w:val="en-US"/>
        </w:rPr>
        <mc:AlternateContent>
          <mc:Choice Requires="wps">
            <w:drawing>
              <wp:anchor distT="45720" distB="45720" distL="114300" distR="114300" simplePos="0" relativeHeight="251617280" behindDoc="0" locked="0" layoutInCell="1" allowOverlap="1" wp14:anchorId="3398A631" wp14:editId="04C7B845">
                <wp:simplePos x="0" y="0"/>
                <wp:positionH relativeFrom="margin">
                  <wp:posOffset>3305174</wp:posOffset>
                </wp:positionH>
                <wp:positionV relativeFrom="paragraph">
                  <wp:posOffset>239395</wp:posOffset>
                </wp:positionV>
                <wp:extent cx="2390775" cy="1404620"/>
                <wp:effectExtent l="0" t="0" r="952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chemeClr val="bg1"/>
                        </a:solidFill>
                        <a:ln w="9525">
                          <a:noFill/>
                          <a:miter lim="800000"/>
                          <a:headEnd/>
                          <a:tailEnd/>
                        </a:ln>
                      </wps:spPr>
                      <wps:txbx>
                        <w:txbxContent>
                          <w:p w14:paraId="7BE52B73" w14:textId="7AE2A647" w:rsidR="00376025" w:rsidRPr="008D3AB2" w:rsidRDefault="00376025" w:rsidP="008D3AB2">
                            <w:pPr>
                              <w:spacing w:before="0"/>
                              <w:rPr>
                                <w:rFonts w:ascii="Calibri" w:hAnsi="Calibri" w:cs="Calibri"/>
                                <w:b/>
                                <w:sz w:val="16"/>
                              </w:rPr>
                            </w:pPr>
                            <w:r>
                              <w:rPr>
                                <w:rFonts w:ascii="Calibri" w:hAnsi="Calibri"/>
                                <w:b/>
                                <w:sz w:val="16"/>
                              </w:rPr>
                              <w:t>-20,9% krahasuar me skenarin BaU në vitin 2030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98A631" id="Text Box 3" o:spid="_x0000_s1027" type="#_x0000_t202" style="position:absolute;left:0;text-align:left;margin-left:260.25pt;margin-top:18.85pt;width:188.25pt;height:110.6pt;z-index:251617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" fillcolor="white [3212]" stroked="f">
                <v:textbox style="mso-fit-shape-to-text:t">
                  <w:txbxContent>
                    <w:p w14:paraId="7BE52B73" w14:textId="7AE2A647" w:rsidR="00376025" w:rsidRPr="008D3AB2" w:rsidRDefault="00376025" w:rsidP="008D3AB2">
                      <w:pPr>
                        <w:spacing w:before="0"/>
                        <w:rPr>
                          <w:rFonts w:ascii="Calibri" w:hAnsi="Calibri" w:cs="Calibri"/>
                          <w:b/>
                          <w:sz w:val="16"/>
                        </w:rPr>
                      </w:pPr>
                      <w:r>
                        <w:rPr>
                          <w:rFonts w:ascii="Calibri" w:hAnsi="Calibri"/>
                          <w:b/>
                          <w:sz w:val="16"/>
                        </w:rPr>
                        <w:t>-20,9% krahasuar me skenarin BaU në vitin 2030</w:t>
                      </w:r>
                    </w:p>
                  </w:txbxContent>
                </v:textbox>
                <w10:wrap anchorx="margin"/>
              </v:shape>
            </w:pict>
          </mc:Fallback>
        </mc:AlternateContent>
      </w:r>
      <w:r w:rsidR="008D3AB2">
        <w:rPr>
          <w:noProof/>
          <w:lang w:val="en-US"/>
        </w:rPr>
        <mc:AlternateContent>
          <mc:Choice Requires="wps">
            <w:drawing>
              <wp:anchor distT="45720" distB="45720" distL="114300" distR="114300" simplePos="0" relativeHeight="251628544" behindDoc="0" locked="0" layoutInCell="1" allowOverlap="1" wp14:anchorId="5026C548" wp14:editId="305337D3">
                <wp:simplePos x="0" y="0"/>
                <wp:positionH relativeFrom="margin">
                  <wp:posOffset>2083214</wp:posOffset>
                </wp:positionH>
                <wp:positionV relativeFrom="paragraph">
                  <wp:posOffset>39977</wp:posOffset>
                </wp:positionV>
                <wp:extent cx="588396" cy="1404620"/>
                <wp:effectExtent l="0" t="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6" cy="1404620"/>
                        </a:xfrm>
                        <a:prstGeom prst="rect">
                          <a:avLst/>
                        </a:prstGeom>
                        <a:solidFill>
                          <a:schemeClr val="bg1"/>
                        </a:solidFill>
                        <a:ln w="9525">
                          <a:noFill/>
                          <a:miter lim="800000"/>
                          <a:headEnd/>
                          <a:tailEnd/>
                        </a:ln>
                      </wps:spPr>
                      <wps:txbx>
                        <w:txbxContent>
                          <w:p w14:paraId="1A479A64" w14:textId="0A7DACE1" w:rsidR="00376025" w:rsidRPr="008D3AB2" w:rsidRDefault="00376025" w:rsidP="008D3AB2">
                            <w:pPr>
                              <w:spacing w:before="0"/>
                              <w:rPr>
                                <w:rFonts w:ascii="Calibri" w:hAnsi="Calibri" w:cs="Calibri"/>
                                <w:b/>
                                <w:color w:val="808080" w:themeColor="background1" w:themeShade="80"/>
                                <w:sz w:val="10"/>
                              </w:rPr>
                            </w:pPr>
                            <w:r>
                              <w:rPr>
                                <w:rFonts w:ascii="Calibri" w:hAnsi="Calibri"/>
                                <w:b/>
                                <w:color w:val="808080" w:themeColor="background1" w:themeShade="80"/>
                                <w:sz w:val="10"/>
                              </w:rPr>
                              <w:t xml:space="preserve">Të </w:t>
                            </w:r>
                            <w:r>
                              <w:rPr>
                                <w:rFonts w:ascii="Calibri" w:hAnsi="Calibri"/>
                                <w:b/>
                                <w:color w:val="808080" w:themeColor="background1" w:themeShade="80"/>
                                <w:sz w:val="10"/>
                              </w:rPr>
                              <w:t>gjithë sektorët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6C548" id="Text Box 8" o:spid="_x0000_s1028" type="#_x0000_t202" style="position:absolute;left:0;text-align:left;margin-left:164.05pt;margin-top:3.15pt;width:46.35pt;height:110.6pt;z-index:251628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" fillcolor="white [3212]" stroked="f">
                <v:textbox style="mso-fit-shape-to-text:t">
                  <w:txbxContent>
                    <w:p w14:paraId="1A479A64" w14:textId="0A7DACE1" w:rsidR="00376025" w:rsidRPr="008D3AB2" w:rsidRDefault="00376025" w:rsidP="008D3AB2">
                      <w:pPr>
                        <w:spacing w:before="0"/>
                        <w:rPr>
                          <w:rFonts w:ascii="Calibri" w:hAnsi="Calibri" w:cs="Calibri"/>
                          <w:b/>
                          <w:color w:val="808080" w:themeColor="background1" w:themeShade="80"/>
                          <w:sz w:val="10"/>
                        </w:rPr>
                      </w:pPr>
                      <w:r>
                        <w:rPr>
                          <w:rFonts w:ascii="Calibri" w:hAnsi="Calibri"/>
                          <w:b/>
                          <w:color w:val="808080" w:themeColor="background1" w:themeShade="80"/>
                          <w:sz w:val="10"/>
                        </w:rPr>
                        <w:t xml:space="preserve">Të </w:t>
                      </w:r>
                      <w:r>
                        <w:rPr>
                          <w:rFonts w:ascii="Calibri" w:hAnsi="Calibri"/>
                          <w:b/>
                          <w:color w:val="808080" w:themeColor="background1" w:themeShade="80"/>
                          <w:sz w:val="10"/>
                        </w:rPr>
                        <w:t>gjithë sektorët</w:t>
                      </w:r>
                    </w:p>
                  </w:txbxContent>
                </v:textbox>
                <w10:wrap anchorx="margin"/>
              </v:shape>
            </w:pict>
          </mc:Fallback>
        </mc:AlternateContent>
      </w:r>
      <w:r w:rsidR="008D3AB2">
        <w:rPr>
          <w:noProof/>
          <w:lang w:val="en-US"/>
        </w:rPr>
        <mc:AlternateContent>
          <mc:Choice Requires="wps">
            <w:drawing>
              <wp:anchor distT="45720" distB="45720" distL="114300" distR="114300" simplePos="0" relativeHeight="251625472" behindDoc="0" locked="0" layoutInCell="1" allowOverlap="1" wp14:anchorId="5BDE58ED" wp14:editId="42597C5E">
                <wp:simplePos x="0" y="0"/>
                <wp:positionH relativeFrom="margin">
                  <wp:posOffset>31391</wp:posOffset>
                </wp:positionH>
                <wp:positionV relativeFrom="paragraph">
                  <wp:posOffset>452755</wp:posOffset>
                </wp:positionV>
                <wp:extent cx="818984" cy="1404620"/>
                <wp:effectExtent l="0" t="0" r="635"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984" cy="1404620"/>
                        </a:xfrm>
                        <a:prstGeom prst="rect">
                          <a:avLst/>
                        </a:prstGeom>
                        <a:solidFill>
                          <a:schemeClr val="bg1"/>
                        </a:solidFill>
                        <a:ln w="9525">
                          <a:noFill/>
                          <a:miter lim="800000"/>
                          <a:headEnd/>
                          <a:tailEnd/>
                        </a:ln>
                      </wps:spPr>
                      <wps:txbx>
                        <w:txbxContent>
                          <w:p w14:paraId="5110AF2C" w14:textId="2A427DFE" w:rsidR="00376025" w:rsidRPr="008D3AB2" w:rsidRDefault="00376025" w:rsidP="008D3AB2">
                            <w:pPr>
                              <w:spacing w:before="0"/>
                              <w:rPr>
                                <w:rFonts w:ascii="Calibri" w:hAnsi="Calibri" w:cs="Calibri"/>
                                <w:b/>
                                <w:color w:val="0070C0"/>
                                <w:sz w:val="16"/>
                              </w:rPr>
                            </w:pPr>
                            <w:r>
                              <w:rPr>
                                <w:rFonts w:ascii="Calibri" w:hAnsi="Calibri"/>
                                <w:b/>
                                <w:color w:val="0070C0"/>
                                <w:sz w:val="16"/>
                              </w:rPr>
                              <w:t xml:space="preserve">KKP </w:t>
                            </w:r>
                            <w:r>
                              <w:rPr>
                                <w:rFonts w:ascii="Calibri" w:hAnsi="Calibri"/>
                                <w:b/>
                                <w:color w:val="0070C0"/>
                                <w:sz w:val="16"/>
                              </w:rPr>
                              <w:t>2.0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DE58ED" id="_x0000_s1029" type="#_x0000_t202" style="position:absolute;left:0;text-align:left;margin-left:2.45pt;margin-top:35.65pt;width:64.5pt;height:110.6pt;z-index:2516254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" fillcolor="white [3212]" stroked="f">
                <v:textbox style="mso-fit-shape-to-text:t">
                  <w:txbxContent>
                    <w:p w14:paraId="5110AF2C" w14:textId="2A427DFE" w:rsidR="00376025" w:rsidRPr="008D3AB2" w:rsidRDefault="00376025" w:rsidP="008D3AB2">
                      <w:pPr>
                        <w:spacing w:before="0"/>
                        <w:rPr>
                          <w:rFonts w:ascii="Calibri" w:hAnsi="Calibri" w:cs="Calibri"/>
                          <w:b/>
                          <w:color w:val="0070C0"/>
                          <w:sz w:val="16"/>
                        </w:rPr>
                      </w:pPr>
                      <w:r>
                        <w:rPr>
                          <w:rFonts w:ascii="Calibri" w:hAnsi="Calibri"/>
                          <w:b/>
                          <w:color w:val="0070C0"/>
                          <w:sz w:val="16"/>
                        </w:rPr>
                        <w:t xml:space="preserve">KKP </w:t>
                      </w:r>
                      <w:r>
                        <w:rPr>
                          <w:rFonts w:ascii="Calibri" w:hAnsi="Calibri"/>
                          <w:b/>
                          <w:color w:val="0070C0"/>
                          <w:sz w:val="16"/>
                        </w:rPr>
                        <w:t>2.0 (2021)</w:t>
                      </w:r>
                    </w:p>
                  </w:txbxContent>
                </v:textbox>
                <w10:wrap anchorx="margin"/>
              </v:shape>
            </w:pict>
          </mc:Fallback>
        </mc:AlternateContent>
      </w:r>
      <w:r w:rsidR="008D3AB2">
        <w:rPr>
          <w:noProof/>
          <w:lang w:val="en-US"/>
        </w:rPr>
        <mc:AlternateContent>
          <mc:Choice Requires="wps">
            <w:drawing>
              <wp:anchor distT="45720" distB="45720" distL="114300" distR="114300" simplePos="0" relativeHeight="251623424" behindDoc="0" locked="0" layoutInCell="1" allowOverlap="1" wp14:anchorId="7A1C4135" wp14:editId="2B3D7C28">
                <wp:simplePos x="0" y="0"/>
                <wp:positionH relativeFrom="margin">
                  <wp:posOffset>47211</wp:posOffset>
                </wp:positionH>
                <wp:positionV relativeFrom="paragraph">
                  <wp:posOffset>1637445</wp:posOffset>
                </wp:positionV>
                <wp:extent cx="962108" cy="1404620"/>
                <wp:effectExtent l="0" t="0" r="952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08" cy="1404620"/>
                        </a:xfrm>
                        <a:prstGeom prst="rect">
                          <a:avLst/>
                        </a:prstGeom>
                        <a:solidFill>
                          <a:schemeClr val="bg1"/>
                        </a:solidFill>
                        <a:ln w="9525">
                          <a:noFill/>
                          <a:miter lim="800000"/>
                          <a:headEnd/>
                          <a:tailEnd/>
                        </a:ln>
                      </wps:spPr>
                      <wps:txbx>
                        <w:txbxContent>
                          <w:p w14:paraId="48FB57B0" w14:textId="7DEC842B" w:rsidR="00376025" w:rsidRPr="008D3AB2" w:rsidRDefault="00376025" w:rsidP="008D3AB2">
                            <w:pPr>
                              <w:spacing w:before="0"/>
                              <w:rPr>
                                <w:rFonts w:ascii="Calibri" w:hAnsi="Calibri" w:cs="Calibri"/>
                                <w:b/>
                                <w:color w:val="0070C0"/>
                                <w:sz w:val="16"/>
                              </w:rPr>
                            </w:pPr>
                            <w:r>
                              <w:rPr>
                                <w:rFonts w:ascii="Calibri" w:hAnsi="Calibri"/>
                                <w:b/>
                                <w:color w:val="0070C0"/>
                                <w:sz w:val="16"/>
                              </w:rPr>
                              <w:t xml:space="preserve">KKP </w:t>
                            </w:r>
                            <w:r>
                              <w:rPr>
                                <w:rFonts w:ascii="Calibri" w:hAnsi="Calibri"/>
                                <w:b/>
                                <w:color w:val="0070C0"/>
                                <w:sz w:val="16"/>
                              </w:rPr>
                              <w:t>3.0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C4135" id="_x0000_s1030" type="#_x0000_t202" style="position:absolute;left:0;text-align:left;margin-left:3.7pt;margin-top:128.95pt;width:75.75pt;height:110.6pt;z-index:251623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" fillcolor="white [3212]" stroked="f">
                <v:textbox style="mso-fit-shape-to-text:t">
                  <w:txbxContent>
                    <w:p w14:paraId="48FB57B0" w14:textId="7DEC842B" w:rsidR="00376025" w:rsidRPr="008D3AB2" w:rsidRDefault="00376025" w:rsidP="008D3AB2">
                      <w:pPr>
                        <w:spacing w:before="0"/>
                        <w:rPr>
                          <w:rFonts w:ascii="Calibri" w:hAnsi="Calibri" w:cs="Calibri"/>
                          <w:b/>
                          <w:color w:val="0070C0"/>
                          <w:sz w:val="16"/>
                        </w:rPr>
                      </w:pPr>
                      <w:r>
                        <w:rPr>
                          <w:rFonts w:ascii="Calibri" w:hAnsi="Calibri"/>
                          <w:b/>
                          <w:color w:val="0070C0"/>
                          <w:sz w:val="16"/>
                        </w:rPr>
                        <w:t xml:space="preserve">KKP </w:t>
                      </w:r>
                      <w:r>
                        <w:rPr>
                          <w:rFonts w:ascii="Calibri" w:hAnsi="Calibri"/>
                          <w:b/>
                          <w:color w:val="0070C0"/>
                          <w:sz w:val="16"/>
                        </w:rPr>
                        <w:t>3.0 (2025)</w:t>
                      </w:r>
                    </w:p>
                  </w:txbxContent>
                </v:textbox>
                <w10:wrap anchorx="margin"/>
              </v:shape>
            </w:pict>
          </mc:Fallback>
        </mc:AlternateContent>
      </w:r>
      <w:r w:rsidR="008D3AB2">
        <w:rPr>
          <w:noProof/>
          <w:lang w:val="en-US"/>
        </w:rPr>
        <mc:AlternateContent>
          <mc:Choice Requires="wps">
            <w:drawing>
              <wp:anchor distT="45720" distB="45720" distL="114300" distR="114300" simplePos="0" relativeHeight="251621376" behindDoc="0" locked="0" layoutInCell="1" allowOverlap="1" wp14:anchorId="05C1AAEB" wp14:editId="71E0C672">
                <wp:simplePos x="0" y="0"/>
                <wp:positionH relativeFrom="margin">
                  <wp:posOffset>3514477</wp:posOffset>
                </wp:positionH>
                <wp:positionV relativeFrom="paragraph">
                  <wp:posOffset>477078</wp:posOffset>
                </wp:positionV>
                <wp:extent cx="477078" cy="14046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8" cy="1404620"/>
                        </a:xfrm>
                        <a:prstGeom prst="rect">
                          <a:avLst/>
                        </a:prstGeom>
                        <a:solidFill>
                          <a:schemeClr val="bg1"/>
                        </a:solidFill>
                        <a:ln w="9525">
                          <a:noFill/>
                          <a:miter lim="800000"/>
                          <a:headEnd/>
                          <a:tailEnd/>
                        </a:ln>
                      </wps:spPr>
                      <wps:txbx>
                        <w:txbxContent>
                          <w:p w14:paraId="1F369219" w14:textId="3F809E0C" w:rsidR="00376025" w:rsidRPr="008D3AB2" w:rsidRDefault="00376025" w:rsidP="008D3AB2">
                            <w:pPr>
                              <w:spacing w:before="0"/>
                              <w:rPr>
                                <w:rFonts w:ascii="Calibri" w:hAnsi="Calibri" w:cs="Calibri"/>
                                <w:b/>
                                <w:color w:val="808080" w:themeColor="background1" w:themeShade="80"/>
                                <w:sz w:val="10"/>
                              </w:rPr>
                            </w:pPr>
                            <w:r>
                              <w:rPr>
                                <w:rFonts w:ascii="Calibri" w:hAnsi="Calibri"/>
                                <w:b/>
                                <w:color w:val="808080" w:themeColor="background1" w:themeShade="80"/>
                                <w:sz w:val="10"/>
                              </w:rPr>
                              <w:t>Inventari</w:t>
                            </w:r>
                          </w:p>
                          <w:p w14:paraId="0EDD5073" w14:textId="70BFA51F" w:rsidR="00376025" w:rsidRPr="008D3AB2" w:rsidRDefault="00376025" w:rsidP="008D3AB2">
                            <w:pPr>
                              <w:spacing w:before="0"/>
                              <w:rPr>
                                <w:rFonts w:ascii="Calibri" w:hAnsi="Calibri" w:cs="Calibri"/>
                                <w:b/>
                                <w:color w:val="808080" w:themeColor="background1" w:themeShade="80"/>
                                <w:sz w:val="10"/>
                              </w:rPr>
                            </w:pPr>
                            <w:r>
                              <w:rPr>
                                <w:rFonts w:ascii="Calibri" w:hAnsi="Calibri"/>
                                <w:b/>
                                <w:color w:val="808080" w:themeColor="background1" w:themeShade="80"/>
                                <w:sz w:val="10"/>
                              </w:rPr>
                              <w:t>BaU</w:t>
                            </w:r>
                          </w:p>
                          <w:p w14:paraId="032E83A9" w14:textId="1C053D3E" w:rsidR="00376025" w:rsidRPr="008D3AB2" w:rsidRDefault="00376025" w:rsidP="008D3AB2">
                            <w:pPr>
                              <w:spacing w:before="0"/>
                              <w:rPr>
                                <w:rFonts w:ascii="Calibri" w:hAnsi="Calibri" w:cs="Calibri"/>
                                <w:b/>
                                <w:color w:val="808080" w:themeColor="background1" w:themeShade="80"/>
                                <w:sz w:val="10"/>
                              </w:rPr>
                            </w:pPr>
                            <w:r>
                              <w:rPr>
                                <w:rFonts w:ascii="Calibri" w:hAnsi="Calibri"/>
                                <w:b/>
                                <w:color w:val="808080" w:themeColor="background1" w:themeShade="80"/>
                                <w:sz w:val="10"/>
                              </w:rPr>
                              <w:t>KKP/NDC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1AAEB" id="Text Box 5" o:spid="_x0000_s1031" type="#_x0000_t202" style="position:absolute;left:0;text-align:left;margin-left:276.75pt;margin-top:37.55pt;width:37.55pt;height:110.6pt;z-index:2516213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" fillcolor="white [3212]" stroked="f">
                <v:textbox style="mso-fit-shape-to-text:t">
                  <w:txbxContent>
                    <w:p w14:paraId="1F369219" w14:textId="3F809E0C" w:rsidR="00376025" w:rsidRPr="008D3AB2" w:rsidRDefault="00376025" w:rsidP="008D3AB2">
                      <w:pPr>
                        <w:spacing w:before="0"/>
                        <w:rPr>
                          <w:rFonts w:ascii="Calibri" w:hAnsi="Calibri" w:cs="Calibri"/>
                          <w:b/>
                          <w:color w:val="808080" w:themeColor="background1" w:themeShade="80"/>
                          <w:sz w:val="10"/>
                        </w:rPr>
                      </w:pPr>
                      <w:r>
                        <w:rPr>
                          <w:rFonts w:ascii="Calibri" w:hAnsi="Calibri"/>
                          <w:b/>
                          <w:color w:val="808080" w:themeColor="background1" w:themeShade="80"/>
                          <w:sz w:val="10"/>
                        </w:rPr>
                        <w:t>Inventari</w:t>
                      </w:r>
                    </w:p>
                    <w:p w14:paraId="0EDD5073" w14:textId="70BFA51F" w:rsidR="00376025" w:rsidRPr="008D3AB2" w:rsidRDefault="00376025" w:rsidP="008D3AB2">
                      <w:pPr>
                        <w:spacing w:before="0"/>
                        <w:rPr>
                          <w:rFonts w:ascii="Calibri" w:hAnsi="Calibri" w:cs="Calibri"/>
                          <w:b/>
                          <w:color w:val="808080" w:themeColor="background1" w:themeShade="80"/>
                          <w:sz w:val="10"/>
                        </w:rPr>
                      </w:pPr>
                      <w:r>
                        <w:rPr>
                          <w:rFonts w:ascii="Calibri" w:hAnsi="Calibri"/>
                          <w:b/>
                          <w:color w:val="808080" w:themeColor="background1" w:themeShade="80"/>
                          <w:sz w:val="10"/>
                        </w:rPr>
                        <w:t>BaU</w:t>
                      </w:r>
                    </w:p>
                    <w:p w14:paraId="032E83A9" w14:textId="1C053D3E" w:rsidR="00376025" w:rsidRPr="008D3AB2" w:rsidRDefault="00376025" w:rsidP="008D3AB2">
                      <w:pPr>
                        <w:spacing w:before="0"/>
                        <w:rPr>
                          <w:rFonts w:ascii="Calibri" w:hAnsi="Calibri" w:cs="Calibri"/>
                          <w:b/>
                          <w:color w:val="808080" w:themeColor="background1" w:themeShade="80"/>
                          <w:sz w:val="10"/>
                        </w:rPr>
                      </w:pPr>
                      <w:r>
                        <w:rPr>
                          <w:rFonts w:ascii="Calibri" w:hAnsi="Calibri"/>
                          <w:b/>
                          <w:color w:val="808080" w:themeColor="background1" w:themeShade="80"/>
                          <w:sz w:val="10"/>
                        </w:rPr>
                        <w:t>KKP/NDC</w:t>
                      </w:r>
                    </w:p>
                  </w:txbxContent>
                </v:textbox>
                <w10:wrap anchorx="margin"/>
              </v:shape>
            </w:pict>
          </mc:Fallback>
        </mc:AlternateContent>
      </w:r>
      <w:r w:rsidR="008D3AB2">
        <w:rPr>
          <w:noProof/>
          <w:lang w:val="en-US"/>
        </w:rPr>
        <mc:AlternateContent>
          <mc:Choice Requires="wps">
            <w:drawing>
              <wp:anchor distT="45720" distB="45720" distL="114300" distR="114300" simplePos="0" relativeHeight="251619328" behindDoc="0" locked="0" layoutInCell="1" allowOverlap="1" wp14:anchorId="03EA9ABA" wp14:editId="7D6E8E34">
                <wp:simplePos x="0" y="0"/>
                <wp:positionH relativeFrom="margin">
                  <wp:posOffset>2393232</wp:posOffset>
                </wp:positionH>
                <wp:positionV relativeFrom="paragraph">
                  <wp:posOffset>1987440</wp:posOffset>
                </wp:positionV>
                <wp:extent cx="2520564" cy="140462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564" cy="1404620"/>
                        </a:xfrm>
                        <a:prstGeom prst="rect">
                          <a:avLst/>
                        </a:prstGeom>
                        <a:solidFill>
                          <a:schemeClr val="bg1"/>
                        </a:solidFill>
                        <a:ln w="9525">
                          <a:noFill/>
                          <a:miter lim="800000"/>
                          <a:headEnd/>
                          <a:tailEnd/>
                        </a:ln>
                      </wps:spPr>
                      <wps:txbx>
                        <w:txbxContent>
                          <w:p w14:paraId="5C5A5E67" w14:textId="67699286" w:rsidR="00376025" w:rsidRPr="008D3AB2" w:rsidRDefault="00376025" w:rsidP="008D3AB2">
                            <w:pPr>
                              <w:spacing w:before="0"/>
                              <w:jc w:val="center"/>
                              <w:rPr>
                                <w:rFonts w:ascii="Calibri" w:hAnsi="Calibri" w:cs="Calibri"/>
                                <w:b/>
                                <w:color w:val="FF0000"/>
                                <w:sz w:val="16"/>
                              </w:rPr>
                            </w:pPr>
                            <w:r>
                              <w:rPr>
                                <w:rFonts w:ascii="Calibri" w:hAnsi="Calibri"/>
                                <w:b/>
                                <w:color w:val="FF0000"/>
                                <w:sz w:val="16"/>
                              </w:rPr>
                              <w:t>Më ambicioz krahasuar me KKP 2.0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EA9ABA" id="Text Box 4" o:spid="_x0000_s1032" type="#_x0000_t202" style="position:absolute;left:0;text-align:left;margin-left:188.45pt;margin-top:156.5pt;width:198.45pt;height:110.6pt;z-index:251619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" fillcolor="white [3212]" stroked="f">
                <v:textbox style="mso-fit-shape-to-text:t">
                  <w:txbxContent>
                    <w:p w14:paraId="5C5A5E67" w14:textId="67699286" w:rsidR="00376025" w:rsidRPr="008D3AB2" w:rsidRDefault="00376025" w:rsidP="008D3AB2">
                      <w:pPr>
                        <w:spacing w:before="0"/>
                        <w:jc w:val="center"/>
                        <w:rPr>
                          <w:rFonts w:ascii="Calibri" w:hAnsi="Calibri" w:cs="Calibri"/>
                          <w:b/>
                          <w:color w:val="FF0000"/>
                          <w:sz w:val="16"/>
                        </w:rPr>
                      </w:pPr>
                      <w:r>
                        <w:rPr>
                          <w:rFonts w:ascii="Calibri" w:hAnsi="Calibri"/>
                          <w:b/>
                          <w:color w:val="FF0000"/>
                          <w:sz w:val="16"/>
                        </w:rPr>
                        <w:t>Më ambicioz krahasuar me KKP 2.0 (2021)</w:t>
                      </w:r>
                    </w:p>
                  </w:txbxContent>
                </v:textbox>
                <w10:wrap anchorx="margin"/>
              </v:shape>
            </w:pict>
          </mc:Fallback>
        </mc:AlternateContent>
      </w:r>
      <w:r w:rsidR="008D3AB2">
        <w:rPr>
          <w:noProof/>
          <w:lang w:val="en-US"/>
        </w:rPr>
        <mc:AlternateContent>
          <mc:Choice Requires="wps">
            <w:drawing>
              <wp:anchor distT="45720" distB="45720" distL="114300" distR="114300" simplePos="0" relativeHeight="251614208" behindDoc="0" locked="0" layoutInCell="1" allowOverlap="1" wp14:anchorId="6E94736E" wp14:editId="6F15ADAB">
                <wp:simplePos x="0" y="0"/>
                <wp:positionH relativeFrom="margin">
                  <wp:posOffset>3371353</wp:posOffset>
                </wp:positionH>
                <wp:positionV relativeFrom="paragraph">
                  <wp:posOffset>858741</wp:posOffset>
                </wp:positionV>
                <wp:extent cx="2266122" cy="1404620"/>
                <wp:effectExtent l="0" t="0" r="127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2" cy="1404620"/>
                        </a:xfrm>
                        <a:prstGeom prst="rect">
                          <a:avLst/>
                        </a:prstGeom>
                        <a:solidFill>
                          <a:schemeClr val="bg1"/>
                        </a:solidFill>
                        <a:ln w="9525">
                          <a:noFill/>
                          <a:miter lim="800000"/>
                          <a:headEnd/>
                          <a:tailEnd/>
                        </a:ln>
                      </wps:spPr>
                      <wps:txbx>
                        <w:txbxContent>
                          <w:p w14:paraId="55292E50" w14:textId="3C1C04A0" w:rsidR="00376025" w:rsidRPr="008D3AB2" w:rsidRDefault="00376025" w:rsidP="008D3AB2">
                            <w:pPr>
                              <w:spacing w:before="0"/>
                              <w:rPr>
                                <w:rFonts w:ascii="Calibri" w:hAnsi="Calibri" w:cs="Calibri"/>
                                <w:b/>
                                <w:sz w:val="16"/>
                              </w:rPr>
                            </w:pPr>
                            <w:r>
                              <w:rPr>
                                <w:rFonts w:ascii="Calibri" w:hAnsi="Calibri"/>
                                <w:b/>
                                <w:sz w:val="16"/>
                              </w:rPr>
                              <w:t xml:space="preserve">Objektivi </w:t>
                            </w:r>
                            <w:r>
                              <w:rPr>
                                <w:rFonts w:ascii="Calibri" w:hAnsi="Calibri"/>
                                <w:b/>
                                <w:sz w:val="16"/>
                              </w:rPr>
                              <w:t>njëvjeçar: &lt; 11 978 ktCO2eq brenda vitit 2030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94736E" id="_x0000_s1033" type="#_x0000_t202" style="position:absolute;left:0;text-align:left;margin-left:265.45pt;margin-top:67.6pt;width:178.45pt;height:110.6pt;z-index:251614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" fillcolor="white [3212]" stroked="f">
                <v:textbox style="mso-fit-shape-to-text:t">
                  <w:txbxContent>
                    <w:p w14:paraId="55292E50" w14:textId="3C1C04A0" w:rsidR="00376025" w:rsidRPr="008D3AB2" w:rsidRDefault="00376025" w:rsidP="008D3AB2">
                      <w:pPr>
                        <w:spacing w:before="0"/>
                        <w:rPr>
                          <w:rFonts w:ascii="Calibri" w:hAnsi="Calibri" w:cs="Calibri"/>
                          <w:b/>
                          <w:sz w:val="16"/>
                        </w:rPr>
                      </w:pPr>
                      <w:r>
                        <w:rPr>
                          <w:rFonts w:ascii="Calibri" w:hAnsi="Calibri"/>
                          <w:b/>
                          <w:sz w:val="16"/>
                        </w:rPr>
                        <w:t xml:space="preserve">Objektivi </w:t>
                      </w:r>
                      <w:r>
                        <w:rPr>
                          <w:rFonts w:ascii="Calibri" w:hAnsi="Calibri"/>
                          <w:b/>
                          <w:sz w:val="16"/>
                        </w:rPr>
                        <w:t>njëvjeçar: &lt; 11 978 ktCO2eq brenda vitit 2030</w:t>
                      </w:r>
                    </w:p>
                  </w:txbxContent>
                </v:textbox>
                <w10:wrap anchorx="margin"/>
              </v:shape>
            </w:pict>
          </mc:Fallback>
        </mc:AlternateContent>
      </w:r>
      <w:r w:rsidR="008D3AB2">
        <w:rPr>
          <w:noProof/>
          <w:lang w:val="en-US"/>
        </w:rPr>
        <w:drawing>
          <wp:inline distT="0" distB="0" distL="0" distR="0" wp14:anchorId="34C64259" wp14:editId="59663600">
            <wp:extent cx="5943600" cy="2252980"/>
            <wp:effectExtent l="19050" t="19050" r="19050" b="13970"/>
            <wp:docPr id="198890629" name="Picture 1" descr="A graph with a lin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0629" name="Picture 1" descr="A graph with a line and arrows&#10;&#10;AI-generated content may be incorrect."/>
                    <pic:cNvPicPr>
                      <a:picLocks noChangeAspect="1"/>
                    </pic:cNvPicPr>
                  </pic:nvPicPr>
                  <pic:blipFill>
                    <a:blip r:embed="rId13"/>
                    <a:stretch>
                      <a:fillRect/>
                    </a:stretch>
                  </pic:blipFill>
                  <pic:spPr>
                    <a:xfrm>
                      <a:off x="0" y="0"/>
                      <a:ext cx="5943600" cy="2252980"/>
                    </a:xfrm>
                    <a:prstGeom prst="rect">
                      <a:avLst/>
                    </a:prstGeom>
                    <a:ln w="3175">
                      <a:solidFill>
                        <a:schemeClr val="tx1"/>
                      </a:solidFill>
                    </a:ln>
                  </pic:spPr>
                </pic:pic>
              </a:graphicData>
            </a:graphic>
          </wp:inline>
        </w:drawing>
      </w:r>
    </w:p>
    <w:p w14:paraId="34C63DA2" w14:textId="04154BCB" w:rsidR="002153A8" w:rsidRDefault="008D3AB2" w:rsidP="002153A8">
      <w:pPr>
        <w:pStyle w:val="Caption"/>
        <w:rPr>
          <w:rFonts w:cstheme="majorHAnsi"/>
        </w:rPr>
      </w:pPr>
      <w:bookmarkStart w:id="17" w:name="_Ref204971797"/>
      <w:bookmarkStart w:id="18" w:name="_Toc216778896"/>
      <w:r>
        <w:rPr>
          <w:noProof/>
          <w:lang w:val="en-US"/>
        </w:rPr>
        <mc:AlternateContent>
          <mc:Choice Requires="wps">
            <w:drawing>
              <wp:anchor distT="45720" distB="45720" distL="114300" distR="114300" simplePos="0" relativeHeight="251613184" behindDoc="0" locked="0" layoutInCell="1" allowOverlap="1" wp14:anchorId="52CF5C12" wp14:editId="3B180676">
                <wp:simplePos x="0" y="0"/>
                <wp:positionH relativeFrom="margin">
                  <wp:align>center</wp:align>
                </wp:positionH>
                <wp:positionV relativeFrom="paragraph">
                  <wp:posOffset>6018</wp:posOffset>
                </wp:positionV>
                <wp:extent cx="3490623" cy="140462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623" cy="1404620"/>
                        </a:xfrm>
                        <a:prstGeom prst="rect">
                          <a:avLst/>
                        </a:prstGeom>
                        <a:solidFill>
                          <a:schemeClr val="bg1"/>
                        </a:solidFill>
                        <a:ln w="9525">
                          <a:noFill/>
                          <a:miter lim="800000"/>
                          <a:headEnd/>
                          <a:tailEnd/>
                        </a:ln>
                      </wps:spPr>
                      <wps:txbx>
                        <w:txbxContent>
                          <w:p w14:paraId="6E168790" w14:textId="7003D6D5" w:rsidR="00376025" w:rsidRPr="008D3AB2" w:rsidRDefault="00376025" w:rsidP="008D3AB2">
                            <w:pPr>
                              <w:spacing w:before="0"/>
                              <w:jc w:val="center"/>
                              <w:rPr>
                                <w:rFonts w:ascii="Calibri" w:hAnsi="Calibri" w:cs="Calibri"/>
                                <w:b/>
                                <w:sz w:val="18"/>
                              </w:rPr>
                            </w:pPr>
                            <w:r>
                              <w:rPr>
                                <w:rFonts w:ascii="Calibri" w:hAnsi="Calibri"/>
                                <w:b/>
                                <w:sz w:val="18"/>
                              </w:rPr>
                              <w:t xml:space="preserve">Figura </w:t>
                            </w:r>
                            <w:r>
                              <w:rPr>
                                <w:rFonts w:ascii="Calibri" w:hAnsi="Calibri"/>
                                <w:b/>
                                <w:sz w:val="18"/>
                              </w:rPr>
                              <w:t>1: Krahasim i KKP 3.0 me KKP-në e mëparshme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CF5C12" id="_x0000_s1034" type="#_x0000_t202" style="position:absolute;left:0;text-align:left;margin-left:0;margin-top:.45pt;width:274.85pt;height:110.6pt;z-index:2516131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" fillcolor="white [3212]" stroked="f">
                <v:textbox style="mso-fit-shape-to-text:t">
                  <w:txbxContent>
                    <w:p w14:paraId="6E168790" w14:textId="7003D6D5" w:rsidR="00376025" w:rsidRPr="008D3AB2" w:rsidRDefault="00376025" w:rsidP="008D3AB2">
                      <w:pPr>
                        <w:spacing w:before="0"/>
                        <w:jc w:val="center"/>
                        <w:rPr>
                          <w:rFonts w:ascii="Calibri" w:hAnsi="Calibri" w:cs="Calibri"/>
                          <w:b/>
                          <w:sz w:val="18"/>
                        </w:rPr>
                      </w:pPr>
                      <w:r>
                        <w:rPr>
                          <w:rFonts w:ascii="Calibri" w:hAnsi="Calibri"/>
                          <w:b/>
                          <w:sz w:val="18"/>
                        </w:rPr>
                        <w:t xml:space="preserve">Figura </w:t>
                      </w:r>
                      <w:r>
                        <w:rPr>
                          <w:rFonts w:ascii="Calibri" w:hAnsi="Calibri"/>
                          <w:b/>
                          <w:sz w:val="18"/>
                        </w:rPr>
                        <w:t>1: Krahasim i KKP 3.0 me KKP-në e mëparshme (2021)</w:t>
                      </w:r>
                    </w:p>
                  </w:txbxContent>
                </v:textbox>
                <w10:wrap anchorx="margin"/>
              </v:shape>
            </w:pict>
          </mc:Fallback>
        </mc:AlternateContent>
      </w:r>
      <w:r>
        <w:t xml:space="preserve">Figura </w:t>
      </w:r>
      <w:r w:rsidR="00387652" w:rsidRPr="00420F06">
        <w:rPr>
          <w:rFonts w:cstheme="majorHAnsi"/>
        </w:rPr>
        <w:fldChar w:fldCharType="begin"/>
      </w:r>
      <w:r w:rsidR="002153A8" w:rsidRPr="00420F06">
        <w:rPr>
          <w:rFonts w:cstheme="majorHAnsi"/>
        </w:rPr>
        <w:instrText xml:space="preserve"> SEQ Figure \* ARABIC </w:instrText>
      </w:r>
      <w:r w:rsidR="00387652" w:rsidRPr="00420F06">
        <w:rPr>
          <w:rFonts w:cstheme="majorHAnsi"/>
        </w:rPr>
        <w:fldChar w:fldCharType="separate"/>
      </w:r>
      <w:r w:rsidR="00D0533E">
        <w:rPr>
          <w:rFonts w:cstheme="majorHAnsi"/>
          <w:noProof/>
        </w:rPr>
        <w:t>1</w:t>
      </w:r>
      <w:r w:rsidR="00387652" w:rsidRPr="00420F06">
        <w:rPr>
          <w:rFonts w:cstheme="majorHAnsi"/>
        </w:rPr>
        <w:fldChar w:fldCharType="end"/>
      </w:r>
      <w:bookmarkEnd w:id="17"/>
      <w:r>
        <w:t>: Krahasim i KKP 3.0 me KKP-në e mëparshme (2021)</w:t>
      </w:r>
      <w:bookmarkEnd w:id="18"/>
    </w:p>
    <w:p w14:paraId="34C63DA3" w14:textId="42D4411B" w:rsidR="002153A8" w:rsidRPr="00376025" w:rsidRDefault="002153A8" w:rsidP="00213150">
      <w:pPr>
        <w:pStyle w:val="BodyText"/>
        <w:jc w:val="both"/>
        <w:rPr>
          <w:rFonts w:asciiTheme="majorHAnsi" w:hAnsiTheme="majorHAnsi" w:cstheme="majorHAnsi"/>
          <w:lang w:val="it-IT"/>
        </w:rPr>
      </w:pPr>
    </w:p>
    <w:p w14:paraId="34C63DA4" w14:textId="77777777" w:rsidR="00684F24" w:rsidRDefault="00684F24" w:rsidP="00684F24">
      <w:pPr>
        <w:pStyle w:val="Heading2"/>
        <w:spacing w:before="120"/>
        <w:rPr>
          <w:rFonts w:asciiTheme="majorHAnsi" w:hAnsiTheme="majorHAnsi" w:cstheme="majorHAnsi"/>
        </w:rPr>
      </w:pPr>
      <w:bookmarkStart w:id="19" w:name="_Toc216778859"/>
      <w:r>
        <w:rPr>
          <w:rFonts w:asciiTheme="majorHAnsi" w:hAnsiTheme="majorHAnsi"/>
        </w:rPr>
        <w:t>4.3 Projeksioni i shkarkimeve dhe përthithjeve të GES-ve</w:t>
      </w:r>
      <w:bookmarkEnd w:id="19"/>
    </w:p>
    <w:p w14:paraId="34C63DA5" w14:textId="0ACADAEC" w:rsidR="00561B14" w:rsidRPr="00561B14" w:rsidRDefault="00561B14" w:rsidP="00561B14">
      <w:pPr>
        <w:pStyle w:val="BodyText"/>
        <w:jc w:val="both"/>
        <w:rPr>
          <w:rFonts w:asciiTheme="majorHAnsi" w:hAnsiTheme="majorHAnsi" w:cstheme="majorHAnsi"/>
        </w:rPr>
      </w:pPr>
      <w:r>
        <w:rPr>
          <w:rFonts w:asciiTheme="majorHAnsi" w:hAnsiTheme="majorHAnsi"/>
        </w:rPr>
        <w:t>Për zhvillimin e KKP 3.0, Shqipëria ka marrë parasysh dy skenarët e projeksioneve (</w:t>
      </w:r>
      <w:r w:rsidR="00387652">
        <w:rPr>
          <w:rFonts w:asciiTheme="majorHAnsi" w:hAnsiTheme="majorHAnsi" w:cstheme="majorHAnsi"/>
        </w:rPr>
        <w:fldChar w:fldCharType="begin"/>
      </w:r>
      <w:r>
        <w:rPr>
          <w:rFonts w:asciiTheme="majorHAnsi" w:hAnsiTheme="majorHAnsi" w:cstheme="majorHAnsi"/>
        </w:rPr>
        <w:instrText xml:space="preserve"> REF _Ref204964705 \h </w:instrText>
      </w:r>
      <w:r w:rsidR="00387652">
        <w:rPr>
          <w:rFonts w:asciiTheme="majorHAnsi" w:hAnsiTheme="majorHAnsi" w:cstheme="majorHAnsi"/>
        </w:rPr>
      </w:r>
      <w:r w:rsidR="00387652">
        <w:rPr>
          <w:rFonts w:asciiTheme="majorHAnsi" w:hAnsiTheme="majorHAnsi" w:cstheme="majorHAnsi"/>
        </w:rPr>
        <w:fldChar w:fldCharType="separate"/>
      </w:r>
      <w:r w:rsidR="00D0533E">
        <w:t xml:space="preserve">Figura </w:t>
      </w:r>
      <w:r w:rsidR="00D0533E">
        <w:rPr>
          <w:rFonts w:cstheme="majorHAnsi"/>
          <w:noProof/>
        </w:rPr>
        <w:t>2</w:t>
      </w:r>
      <w:r w:rsidR="00387652">
        <w:rPr>
          <w:rFonts w:asciiTheme="majorHAnsi" w:hAnsiTheme="majorHAnsi" w:cstheme="majorHAnsi"/>
        </w:rPr>
        <w:fldChar w:fldCharType="end"/>
      </w:r>
      <w:r>
        <w:rPr>
          <w:rFonts w:asciiTheme="majorHAnsi" w:hAnsiTheme="majorHAnsi"/>
        </w:rPr>
        <w:t>) të parashikuar në Planin e saj Kombëtar për Energjinë dhe Klimën (PKEK) 2025:</w:t>
      </w:r>
    </w:p>
    <w:p w14:paraId="34C63DA6" w14:textId="161B4159" w:rsidR="00561B14" w:rsidRPr="00561B14" w:rsidRDefault="00561B14" w:rsidP="00601161">
      <w:pPr>
        <w:pStyle w:val="BodyText"/>
        <w:numPr>
          <w:ilvl w:val="0"/>
          <w:numId w:val="13"/>
        </w:numPr>
        <w:spacing w:after="0"/>
        <w:jc w:val="both"/>
        <w:rPr>
          <w:rFonts w:asciiTheme="majorHAnsi" w:hAnsiTheme="majorHAnsi" w:cstheme="majorHAnsi"/>
        </w:rPr>
      </w:pPr>
      <w:r>
        <w:rPr>
          <w:rFonts w:asciiTheme="majorHAnsi" w:hAnsiTheme="majorHAnsi"/>
        </w:rPr>
        <w:t>Skenari WEM (me masa ekzistuese), i cili përfshin të gjitha politikat dhe masat që janë miratuar dhe zbatuar zyrtarisht me vendim qeverie.</w:t>
      </w:r>
    </w:p>
    <w:p w14:paraId="34C63DA7" w14:textId="6D41C112" w:rsidR="00561B14" w:rsidRPr="00561B14" w:rsidRDefault="00561B14" w:rsidP="00601161">
      <w:pPr>
        <w:pStyle w:val="BodyText"/>
        <w:numPr>
          <w:ilvl w:val="0"/>
          <w:numId w:val="13"/>
        </w:numPr>
        <w:spacing w:after="0"/>
        <w:jc w:val="both"/>
        <w:rPr>
          <w:rFonts w:asciiTheme="majorHAnsi" w:hAnsiTheme="majorHAnsi" w:cstheme="majorHAnsi"/>
        </w:rPr>
      </w:pPr>
      <w:r>
        <w:rPr>
          <w:rFonts w:asciiTheme="majorHAnsi" w:hAnsiTheme="majorHAnsi"/>
        </w:rPr>
        <w:t>Skenari WAM (me masa shtesë), i cili bazohet në WEM përmes përfshirjes së politikave dhe masave të planifikuara që janë aktualisht duke u diskutuar dhe që kanë gjasa reale të miratohen.</w:t>
      </w:r>
    </w:p>
    <w:p w14:paraId="334E70D9" w14:textId="77777777" w:rsidR="00B54FB5" w:rsidRDefault="00B54FB5" w:rsidP="00684F24">
      <w:pPr>
        <w:pStyle w:val="BodyText"/>
        <w:jc w:val="both"/>
        <w:rPr>
          <w:rFonts w:asciiTheme="majorHAnsi" w:hAnsiTheme="majorHAnsi" w:cstheme="majorHAnsi"/>
        </w:rPr>
      </w:pPr>
    </w:p>
    <w:p w14:paraId="34C63DA8" w14:textId="134403B2" w:rsidR="00561B14" w:rsidRDefault="00561B14" w:rsidP="00684F24">
      <w:pPr>
        <w:pStyle w:val="BodyText"/>
        <w:jc w:val="both"/>
        <w:rPr>
          <w:rFonts w:asciiTheme="majorHAnsi" w:hAnsiTheme="majorHAnsi" w:cstheme="majorHAnsi"/>
        </w:rPr>
      </w:pPr>
      <w:r>
        <w:rPr>
          <w:rFonts w:asciiTheme="majorHAnsi" w:hAnsiTheme="majorHAnsi"/>
        </w:rPr>
        <w:t>Objektivat e përcaktuar në PKEK dhe KKP 3.0 bazohen në skenarin WAM, i cili është zgjedhur si skenari referencë për KKP-në për shkak të potencialit të tij më ambicioz për zbutjen.</w:t>
      </w:r>
    </w:p>
    <w:p w14:paraId="2231BDA9" w14:textId="77777777" w:rsidR="00B54FB5" w:rsidRDefault="00B54FB5" w:rsidP="00684F24">
      <w:pPr>
        <w:pStyle w:val="BodyText"/>
        <w:jc w:val="both"/>
        <w:rPr>
          <w:rFonts w:asciiTheme="majorHAnsi" w:hAnsiTheme="majorHAnsi" w:cstheme="majorHAnsi"/>
        </w:rPr>
      </w:pPr>
    </w:p>
    <w:p w14:paraId="34C63DA9" w14:textId="5968BD44" w:rsidR="00684F24" w:rsidRDefault="00561B14" w:rsidP="00684F24">
      <w:pPr>
        <w:pStyle w:val="BodyText"/>
        <w:jc w:val="both"/>
        <w:rPr>
          <w:rFonts w:asciiTheme="majorHAnsi" w:hAnsiTheme="majorHAnsi" w:cstheme="majorHAnsi"/>
        </w:rPr>
      </w:pPr>
      <w:r>
        <w:rPr>
          <w:rFonts w:asciiTheme="majorHAnsi" w:hAnsiTheme="majorHAnsi"/>
        </w:rPr>
        <w:t>Shqipëria ka ndërmarrë angazhim të arrijë neutralitetin klimatik brenda vitit 2050, siç parashikohet në PKEK. Rrjedhimisht, përditësimet e ardhshme për perspektivën e vitit 2050 do të pasqyrojnë këtë objektiv afatgjatë.</w:t>
      </w:r>
    </w:p>
    <w:p w14:paraId="34C63DAA" w14:textId="4CE6017C" w:rsidR="00561B14" w:rsidRDefault="00196968" w:rsidP="00561B14">
      <w:pPr>
        <w:pStyle w:val="BodyText"/>
        <w:jc w:val="center"/>
        <w:rPr>
          <w:rFonts w:asciiTheme="majorHAnsi" w:hAnsiTheme="majorHAnsi" w:cstheme="majorHAnsi"/>
        </w:rPr>
      </w:pPr>
      <w:r>
        <w:rPr>
          <w:noProof/>
          <w:lang w:val="en-US"/>
        </w:rPr>
        <w:lastRenderedPageBreak/>
        <mc:AlternateContent>
          <mc:Choice Requires="wps">
            <w:drawing>
              <wp:anchor distT="45720" distB="45720" distL="114300" distR="114300" simplePos="0" relativeHeight="251631616" behindDoc="0" locked="0" layoutInCell="1" allowOverlap="1" wp14:anchorId="51B4AAAD" wp14:editId="016F38D0">
                <wp:simplePos x="0" y="0"/>
                <wp:positionH relativeFrom="margin">
                  <wp:posOffset>532130</wp:posOffset>
                </wp:positionH>
                <wp:positionV relativeFrom="paragraph">
                  <wp:posOffset>500380</wp:posOffset>
                </wp:positionV>
                <wp:extent cx="1846897" cy="1404620"/>
                <wp:effectExtent l="3175" t="0" r="4445"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46897" cy="1404620"/>
                        </a:xfrm>
                        <a:prstGeom prst="rect">
                          <a:avLst/>
                        </a:prstGeom>
                        <a:solidFill>
                          <a:schemeClr val="bg1"/>
                        </a:solidFill>
                        <a:ln w="9525">
                          <a:noFill/>
                          <a:miter lim="800000"/>
                          <a:headEnd/>
                          <a:tailEnd/>
                        </a:ln>
                      </wps:spPr>
                      <wps:txbx>
                        <w:txbxContent>
                          <w:p w14:paraId="01074F65" w14:textId="3D3EC551" w:rsidR="00376025" w:rsidRPr="00196968" w:rsidRDefault="00376025" w:rsidP="00196968">
                            <w:pPr>
                              <w:spacing w:before="0"/>
                              <w:rPr>
                                <w:rFonts w:ascii="Calibri" w:hAnsi="Calibri" w:cs="Calibri"/>
                                <w:sz w:val="18"/>
                              </w:rPr>
                            </w:pPr>
                            <w:r>
                              <w:rPr>
                                <w:rFonts w:ascii="Calibri" w:hAnsi="Calibri"/>
                                <w:sz w:val="18"/>
                              </w:rPr>
                              <w:t xml:space="preserve">Shkarkimet </w:t>
                            </w:r>
                            <w:r>
                              <w:rPr>
                                <w:rFonts w:ascii="Calibri" w:hAnsi="Calibri"/>
                                <w:sz w:val="18"/>
                              </w:rPr>
                              <w:t>e GES-ve në ktCO2eq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B4AAAD" id="Text Box 11" o:spid="_x0000_s1035" type="#_x0000_t202" style="position:absolute;left:0;text-align:left;margin-left:41.9pt;margin-top:39.4pt;width:145.4pt;height:110.6pt;rotation:-90;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" fillcolor="white [3212]" stroked="f">
                <v:textbox style="mso-fit-shape-to-text:t">
                  <w:txbxContent>
                    <w:p w14:paraId="01074F65" w14:textId="3D3EC551" w:rsidR="00376025" w:rsidRPr="00196968" w:rsidRDefault="00376025" w:rsidP="00196968">
                      <w:pPr>
                        <w:spacing w:before="0"/>
                        <w:rPr>
                          <w:rFonts w:ascii="Calibri" w:hAnsi="Calibri" w:cs="Calibri"/>
                          <w:sz w:val="18"/>
                        </w:rPr>
                      </w:pPr>
                      <w:r>
                        <w:rPr>
                          <w:rFonts w:ascii="Calibri" w:hAnsi="Calibri"/>
                          <w:sz w:val="18"/>
                        </w:rPr>
                        <w:t xml:space="preserve">Shkarkimet </w:t>
                      </w:r>
                      <w:r>
                        <w:rPr>
                          <w:rFonts w:ascii="Calibri" w:hAnsi="Calibri"/>
                          <w:sz w:val="18"/>
                        </w:rPr>
                        <w:t>e GES-ve në ktCO2eq</w:t>
                      </w:r>
                    </w:p>
                  </w:txbxContent>
                </v:textbox>
                <w10:wrap anchorx="margin"/>
              </v:shape>
            </w:pict>
          </mc:Fallback>
        </mc:AlternateContent>
      </w:r>
      <w:r>
        <w:rPr>
          <w:noProof/>
          <w:lang w:val="en-US"/>
        </w:rPr>
        <mc:AlternateContent>
          <mc:Choice Requires="wps">
            <w:drawing>
              <wp:anchor distT="45720" distB="45720" distL="114300" distR="114300" simplePos="0" relativeHeight="251630592" behindDoc="0" locked="0" layoutInCell="1" allowOverlap="1" wp14:anchorId="121C0FD2" wp14:editId="5E023F45">
                <wp:simplePos x="0" y="0"/>
                <wp:positionH relativeFrom="margin">
                  <wp:posOffset>3291316</wp:posOffset>
                </wp:positionH>
                <wp:positionV relativeFrom="paragraph">
                  <wp:posOffset>2432685</wp:posOffset>
                </wp:positionV>
                <wp:extent cx="461175" cy="1404620"/>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75" cy="1404620"/>
                        </a:xfrm>
                        <a:prstGeom prst="rect">
                          <a:avLst/>
                        </a:prstGeom>
                        <a:solidFill>
                          <a:schemeClr val="bg1"/>
                        </a:solidFill>
                        <a:ln w="9525">
                          <a:noFill/>
                          <a:miter lim="800000"/>
                          <a:headEnd/>
                          <a:tailEnd/>
                        </a:ln>
                      </wps:spPr>
                      <wps:txbx>
                        <w:txbxContent>
                          <w:p w14:paraId="21A67BF2" w14:textId="5080D226" w:rsidR="00376025" w:rsidRPr="00196968" w:rsidRDefault="00376025" w:rsidP="008D3AB2">
                            <w:pPr>
                              <w:spacing w:before="0"/>
                              <w:rPr>
                                <w:rFonts w:ascii="Calibri" w:hAnsi="Calibri" w:cs="Calibri"/>
                                <w:sz w:val="16"/>
                              </w:rPr>
                            </w:pPr>
                            <w:r>
                              <w:rPr>
                                <w:rFonts w:ascii="Calibri" w:hAnsi="Calibri"/>
                                <w:sz w:val="16"/>
                              </w:rPr>
                              <w:t>WAM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C0FD2" id="Text Box 10" o:spid="_x0000_s1036" type="#_x0000_t202" style="position:absolute;left:0;text-align:left;margin-left:259.15pt;margin-top:191.55pt;width:36.3pt;height:110.6pt;z-index:251630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" fillcolor="white [3212]" stroked="f">
                <v:textbox style="mso-fit-shape-to-text:t">
                  <w:txbxContent>
                    <w:p w14:paraId="21A67BF2" w14:textId="5080D226" w:rsidR="00376025" w:rsidRPr="00196968" w:rsidRDefault="00376025" w:rsidP="008D3AB2">
                      <w:pPr>
                        <w:spacing w:before="0"/>
                        <w:rPr>
                          <w:rFonts w:ascii="Calibri" w:hAnsi="Calibri" w:cs="Calibri"/>
                          <w:sz w:val="16"/>
                        </w:rPr>
                      </w:pPr>
                      <w:r>
                        <w:rPr>
                          <w:rFonts w:ascii="Calibri" w:hAnsi="Calibri"/>
                          <w:sz w:val="16"/>
                        </w:rPr>
                        <w:t>WAM</w:t>
                      </w:r>
                    </w:p>
                  </w:txbxContent>
                </v:textbox>
                <w10:wrap anchorx="margin"/>
              </v:shape>
            </w:pict>
          </mc:Fallback>
        </mc:AlternateContent>
      </w:r>
      <w:r>
        <w:rPr>
          <w:noProof/>
          <w:lang w:val="en-US"/>
        </w:rPr>
        <mc:AlternateContent>
          <mc:Choice Requires="wps">
            <w:drawing>
              <wp:anchor distT="45720" distB="45720" distL="114300" distR="114300" simplePos="0" relativeHeight="251629568" behindDoc="0" locked="0" layoutInCell="1" allowOverlap="1" wp14:anchorId="5865EC99" wp14:editId="7E3F7452">
                <wp:simplePos x="0" y="0"/>
                <wp:positionH relativeFrom="margin">
                  <wp:posOffset>2623848</wp:posOffset>
                </wp:positionH>
                <wp:positionV relativeFrom="paragraph">
                  <wp:posOffset>2440885</wp:posOffset>
                </wp:positionV>
                <wp:extent cx="461175" cy="1404620"/>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75" cy="1404620"/>
                        </a:xfrm>
                        <a:prstGeom prst="rect">
                          <a:avLst/>
                        </a:prstGeom>
                        <a:solidFill>
                          <a:schemeClr val="bg1"/>
                        </a:solidFill>
                        <a:ln w="9525">
                          <a:noFill/>
                          <a:miter lim="800000"/>
                          <a:headEnd/>
                          <a:tailEnd/>
                        </a:ln>
                      </wps:spPr>
                      <wps:txbx>
                        <w:txbxContent>
                          <w:p w14:paraId="1A7B10C0" w14:textId="7BF85DF2" w:rsidR="00376025" w:rsidRPr="00196968" w:rsidRDefault="00376025" w:rsidP="008D3AB2">
                            <w:pPr>
                              <w:spacing w:before="0"/>
                              <w:rPr>
                                <w:rFonts w:ascii="Calibri" w:hAnsi="Calibri" w:cs="Calibri"/>
                                <w:sz w:val="16"/>
                              </w:rPr>
                            </w:pPr>
                            <w:r>
                              <w:rPr>
                                <w:rFonts w:ascii="Calibri" w:hAnsi="Calibri"/>
                                <w:sz w:val="16"/>
                              </w:rPr>
                              <w:t>WEM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5EC99" id="Text Box 9" o:spid="_x0000_s1037" type="#_x0000_t202" style="position:absolute;left:0;text-align:left;margin-left:206.6pt;margin-top:192.2pt;width:36.3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" fillcolor="white [3212]" stroked="f">
                <v:textbox style="mso-fit-shape-to-text:t">
                  <w:txbxContent>
                    <w:p w14:paraId="1A7B10C0" w14:textId="7BF85DF2" w:rsidR="00376025" w:rsidRPr="00196968" w:rsidRDefault="00376025" w:rsidP="008D3AB2">
                      <w:pPr>
                        <w:spacing w:before="0"/>
                        <w:rPr>
                          <w:rFonts w:ascii="Calibri" w:hAnsi="Calibri" w:cs="Calibri"/>
                          <w:sz w:val="16"/>
                        </w:rPr>
                      </w:pPr>
                      <w:r>
                        <w:rPr>
                          <w:rFonts w:ascii="Calibri" w:hAnsi="Calibri"/>
                          <w:sz w:val="16"/>
                        </w:rPr>
                        <w:t>WEM</w:t>
                      </w:r>
                    </w:p>
                  </w:txbxContent>
                </v:textbox>
                <w10:wrap anchorx="margin"/>
              </v:shape>
            </w:pict>
          </mc:Fallback>
        </mc:AlternateContent>
      </w:r>
      <w:r>
        <w:rPr>
          <w:noProof/>
          <w:lang w:val="en-US"/>
        </w:rPr>
        <w:drawing>
          <wp:inline distT="0" distB="0" distL="0" distR="0" wp14:anchorId="34C6425B" wp14:editId="7CD2833F">
            <wp:extent cx="4572000" cy="2738755"/>
            <wp:effectExtent l="19050" t="19050" r="19050" b="23495"/>
            <wp:docPr id="1716648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738755"/>
                    </a:xfrm>
                    <a:prstGeom prst="rect">
                      <a:avLst/>
                    </a:prstGeom>
                    <a:noFill/>
                    <a:ln w="3175">
                      <a:solidFill>
                        <a:schemeClr val="tx1"/>
                      </a:solidFill>
                    </a:ln>
                  </pic:spPr>
                </pic:pic>
              </a:graphicData>
            </a:graphic>
          </wp:inline>
        </w:drawing>
      </w:r>
    </w:p>
    <w:p w14:paraId="34C63DAB" w14:textId="69C1DA71" w:rsidR="00561B14" w:rsidRPr="00420F06" w:rsidRDefault="00561B14" w:rsidP="00561B14">
      <w:pPr>
        <w:pStyle w:val="Caption"/>
        <w:rPr>
          <w:rFonts w:cstheme="majorHAnsi"/>
        </w:rPr>
      </w:pPr>
      <w:bookmarkStart w:id="20" w:name="_Ref204964705"/>
      <w:bookmarkStart w:id="21" w:name="_Toc216778897"/>
      <w:r>
        <w:t xml:space="preserve">Figura </w:t>
      </w:r>
      <w:r w:rsidR="00387652" w:rsidRPr="00420F06">
        <w:rPr>
          <w:rFonts w:cstheme="majorHAnsi"/>
        </w:rPr>
        <w:fldChar w:fldCharType="begin"/>
      </w:r>
      <w:r w:rsidRPr="00420F06">
        <w:rPr>
          <w:rFonts w:cstheme="majorHAnsi"/>
        </w:rPr>
        <w:instrText xml:space="preserve"> SEQ Figure \* ARABIC </w:instrText>
      </w:r>
      <w:r w:rsidR="00387652" w:rsidRPr="00420F06">
        <w:rPr>
          <w:rFonts w:cstheme="majorHAnsi"/>
        </w:rPr>
        <w:fldChar w:fldCharType="separate"/>
      </w:r>
      <w:r w:rsidR="00D0533E">
        <w:rPr>
          <w:rFonts w:cstheme="majorHAnsi"/>
          <w:noProof/>
        </w:rPr>
        <w:t>2</w:t>
      </w:r>
      <w:r w:rsidR="00387652" w:rsidRPr="00420F06">
        <w:rPr>
          <w:rFonts w:cstheme="majorHAnsi"/>
        </w:rPr>
        <w:fldChar w:fldCharType="end"/>
      </w:r>
      <w:bookmarkEnd w:id="20"/>
      <w:r>
        <w:t>: Projeksioni i shkarkimeve të GES-ve (burimi: PKEK 2025)</w:t>
      </w:r>
      <w:bookmarkEnd w:id="21"/>
      <w:r>
        <w:t xml:space="preserve"> </w:t>
      </w:r>
    </w:p>
    <w:p w14:paraId="34C63DAC" w14:textId="621CF644" w:rsidR="00561B14" w:rsidRPr="00376025" w:rsidRDefault="00561B14" w:rsidP="00561B14">
      <w:pPr>
        <w:pStyle w:val="BodyText"/>
        <w:jc w:val="both"/>
        <w:rPr>
          <w:rFonts w:asciiTheme="majorHAnsi" w:hAnsiTheme="majorHAnsi" w:cstheme="majorHAnsi"/>
        </w:rPr>
      </w:pPr>
    </w:p>
    <w:p w14:paraId="34C63DAD" w14:textId="49A685E5" w:rsidR="00561B14" w:rsidRPr="00561B14" w:rsidRDefault="00561B14" w:rsidP="00561B14">
      <w:pPr>
        <w:pStyle w:val="BodyText"/>
        <w:jc w:val="both"/>
        <w:rPr>
          <w:rFonts w:asciiTheme="majorHAnsi" w:hAnsiTheme="majorHAnsi" w:cstheme="majorHAnsi"/>
        </w:rPr>
      </w:pPr>
      <w:r>
        <w:rPr>
          <w:rFonts w:asciiTheme="majorHAnsi" w:hAnsiTheme="majorHAnsi"/>
        </w:rPr>
        <w:t xml:space="preserve">Në </w:t>
      </w:r>
      <w:r>
        <w:rPr>
          <w:rFonts w:asciiTheme="majorHAnsi" w:hAnsiTheme="majorHAnsi"/>
          <w:b/>
          <w:bCs/>
        </w:rPr>
        <w:t xml:space="preserve">skenarin WEM </w:t>
      </w:r>
      <w:r>
        <w:rPr>
          <w:rFonts w:asciiTheme="majorHAnsi" w:hAnsiTheme="majorHAnsi"/>
        </w:rPr>
        <w:t>(</w:t>
      </w:r>
      <w:r w:rsidR="00387652">
        <w:rPr>
          <w:rFonts w:asciiTheme="majorHAnsi" w:hAnsiTheme="majorHAnsi" w:cstheme="majorHAnsi"/>
        </w:rPr>
        <w:fldChar w:fldCharType="begin"/>
      </w:r>
      <w:r>
        <w:rPr>
          <w:rFonts w:asciiTheme="majorHAnsi" w:hAnsiTheme="majorHAnsi" w:cstheme="majorHAnsi"/>
        </w:rPr>
        <w:instrText xml:space="preserve"> REF _Ref204964725 \h </w:instrText>
      </w:r>
      <w:r w:rsidR="00387652">
        <w:rPr>
          <w:rFonts w:asciiTheme="majorHAnsi" w:hAnsiTheme="majorHAnsi" w:cstheme="majorHAnsi"/>
        </w:rPr>
      </w:r>
      <w:r w:rsidR="00387652">
        <w:rPr>
          <w:rFonts w:asciiTheme="majorHAnsi" w:hAnsiTheme="majorHAnsi" w:cstheme="majorHAnsi"/>
        </w:rPr>
        <w:fldChar w:fldCharType="separate"/>
      </w:r>
      <w:r w:rsidR="00D0533E">
        <w:t xml:space="preserve">Figura </w:t>
      </w:r>
      <w:r w:rsidR="00D0533E">
        <w:rPr>
          <w:rFonts w:cstheme="majorHAnsi"/>
          <w:noProof/>
        </w:rPr>
        <w:t>3</w:t>
      </w:r>
      <w:r w:rsidR="00387652">
        <w:rPr>
          <w:rFonts w:asciiTheme="majorHAnsi" w:hAnsiTheme="majorHAnsi" w:cstheme="majorHAnsi"/>
        </w:rPr>
        <w:fldChar w:fldCharType="end"/>
      </w:r>
      <w:r>
        <w:rPr>
          <w:rFonts w:asciiTheme="majorHAnsi" w:hAnsiTheme="majorHAnsi"/>
        </w:rPr>
        <w:t>), shkarkimet e përgjithshme të GES-ve tregojnë një tendencë në rritje, me kontribute të kufizuara nga sektori i transformimit të energjisë. Shkarkimet rriten ndjeshëm gjatë viteve me klimë të thatë (çdo pesë vjet pas vitit 2022).</w:t>
      </w:r>
    </w:p>
    <w:p w14:paraId="38C309B5" w14:textId="34504946" w:rsidR="002D05BB" w:rsidRDefault="002D05BB" w:rsidP="00561B14">
      <w:pPr>
        <w:pStyle w:val="BodyText"/>
        <w:jc w:val="both"/>
        <w:rPr>
          <w:rFonts w:asciiTheme="majorHAnsi" w:hAnsiTheme="majorHAnsi" w:cstheme="majorHAnsi"/>
        </w:rPr>
      </w:pPr>
      <w:r>
        <w:rPr>
          <w:rFonts w:asciiTheme="majorHAnsi" w:hAnsiTheme="majorHAnsi"/>
          <w:u w:val="single"/>
        </w:rPr>
        <w:t xml:space="preserve">Sektori i transportit </w:t>
      </w:r>
      <w:r>
        <w:rPr>
          <w:rFonts w:asciiTheme="majorHAnsi" w:hAnsiTheme="majorHAnsi"/>
        </w:rPr>
        <w:t xml:space="preserve">mbetet burimi më i madh i shkarkimeve, nivelet e të cilit projektohen të rriten deri në 36% brenda vitit 2035 krahasuar me vitin 2020, pasi kërkesa në rritje për lëvizshmëri vijon të tejkalojë përpjekjet për elektrifikim. Më pas, vjen </w:t>
      </w:r>
      <w:r>
        <w:rPr>
          <w:rFonts w:asciiTheme="majorHAnsi" w:hAnsiTheme="majorHAnsi"/>
          <w:u w:val="single"/>
        </w:rPr>
        <w:t>sektori industrial</w:t>
      </w:r>
      <w:r>
        <w:rPr>
          <w:rFonts w:asciiTheme="majorHAnsi" w:hAnsiTheme="majorHAnsi"/>
        </w:rPr>
        <w:t>, me shkarkime që projektohen të rriten deri në 73%, të nxitura kryesisht nga aktivitetet e lidhura me energjinë dhe rritja e PBB-së. Sektori minerar, veçanërisht prodhimi i çimentos, mbetet burimi më i madh dhe më i vështirë për t'u dekarbonizuar, pasi ka nivel elektrifikimi minimal krahasuar me prodhimin e aliazheve të hekurit, i cili mbështetet tashmë në furrnaltat me hark elektrik.</w:t>
      </w:r>
    </w:p>
    <w:p w14:paraId="34C63DAE" w14:textId="1826AFE9" w:rsidR="00561B14" w:rsidRPr="00561B14" w:rsidRDefault="00293C14" w:rsidP="00561B14">
      <w:pPr>
        <w:pStyle w:val="BodyText"/>
        <w:jc w:val="both"/>
        <w:rPr>
          <w:rFonts w:asciiTheme="majorHAnsi" w:hAnsiTheme="majorHAnsi" w:cstheme="majorHAnsi"/>
        </w:rPr>
      </w:pPr>
      <w:r>
        <w:rPr>
          <w:rFonts w:asciiTheme="majorHAnsi" w:hAnsiTheme="majorHAnsi"/>
        </w:rPr>
        <w:t xml:space="preserve">Nga ana tjetër, </w:t>
      </w:r>
      <w:r>
        <w:rPr>
          <w:rFonts w:asciiTheme="majorHAnsi" w:hAnsiTheme="majorHAnsi"/>
          <w:u w:val="single"/>
        </w:rPr>
        <w:t>sektori i banesave</w:t>
      </w:r>
      <w:r>
        <w:rPr>
          <w:rFonts w:asciiTheme="majorHAnsi" w:hAnsiTheme="majorHAnsi"/>
        </w:rPr>
        <w:t xml:space="preserve"> arrin reduktime modeste, rreth 16% brenda vitit 2035, kryesisht për shkak të përmirësimit të strukturave të ndërtesave dhe kalimit drejt teknologjive ekologjike për ngrohjen dhe ujin e ngrohtë. Ndërkohë, shkarkimet nga </w:t>
      </w:r>
      <w:r>
        <w:rPr>
          <w:rFonts w:asciiTheme="majorHAnsi" w:hAnsiTheme="majorHAnsi"/>
          <w:u w:val="single"/>
        </w:rPr>
        <w:t>sektori i shërbimeve</w:t>
      </w:r>
      <w:r>
        <w:rPr>
          <w:rFonts w:asciiTheme="majorHAnsi" w:hAnsiTheme="majorHAnsi"/>
        </w:rPr>
        <w:t xml:space="preserve"> pritet të rriten ndjeshëm, përkatësisht me 68% në të njëjtën periudhë, kryesisht për shkak të zhvillimit të vazhdueshëm ekonomik.</w:t>
      </w:r>
    </w:p>
    <w:p w14:paraId="34C63DB0" w14:textId="6ADB5CDD" w:rsidR="00561B14" w:rsidRPr="00561B14" w:rsidRDefault="00561B14" w:rsidP="00561B14">
      <w:pPr>
        <w:pStyle w:val="BodyText"/>
        <w:jc w:val="both"/>
        <w:rPr>
          <w:rFonts w:asciiTheme="majorHAnsi" w:hAnsiTheme="majorHAnsi" w:cstheme="majorHAnsi"/>
        </w:rPr>
      </w:pPr>
      <w:r>
        <w:rPr>
          <w:rFonts w:asciiTheme="majorHAnsi" w:hAnsiTheme="majorHAnsi"/>
        </w:rPr>
        <w:t xml:space="preserve">Shkarkimet nga </w:t>
      </w:r>
      <w:r>
        <w:rPr>
          <w:rFonts w:asciiTheme="majorHAnsi" w:hAnsiTheme="majorHAnsi"/>
          <w:u w:val="single"/>
        </w:rPr>
        <w:t>prodhimi i energjisë elektrike</w:t>
      </w:r>
      <w:r>
        <w:rPr>
          <w:rFonts w:asciiTheme="majorHAnsi" w:hAnsiTheme="majorHAnsi"/>
        </w:rPr>
        <w:t xml:space="preserve"> mbeten të ulëta për shkak të përdorimit të kufizuar të termocentralit të Vlorës, i cili është përshtatur për të punuar me gaz natyror. Ky central funksionon kryesisht gjatë viteve të thata dhe duke filluar nga viti 2032 e në vijim, kërkesa do të justifikojë kostot vjetore operacionale.</w:t>
      </w:r>
    </w:p>
    <w:p w14:paraId="34C63DB1" w14:textId="1A3173E2" w:rsidR="00561B14" w:rsidRPr="002D25CC" w:rsidRDefault="004F3671" w:rsidP="00AD52C4">
      <w:pPr>
        <w:pStyle w:val="BodyText"/>
        <w:jc w:val="both"/>
        <w:rPr>
          <w:rFonts w:asciiTheme="majorHAnsi" w:hAnsiTheme="majorHAnsi" w:cstheme="majorHAnsi"/>
        </w:rPr>
      </w:pPr>
      <w:r>
        <w:rPr>
          <w:rFonts w:asciiTheme="majorHAnsi" w:hAnsiTheme="majorHAnsi"/>
        </w:rPr>
        <w:t xml:space="preserve">Shkarkimet në sektorin e </w:t>
      </w:r>
      <w:r>
        <w:rPr>
          <w:rFonts w:asciiTheme="majorHAnsi" w:hAnsiTheme="majorHAnsi"/>
          <w:u w:val="single"/>
        </w:rPr>
        <w:t>bujqësisë</w:t>
      </w:r>
      <w:r>
        <w:rPr>
          <w:rFonts w:asciiTheme="majorHAnsi" w:hAnsiTheme="majorHAnsi"/>
        </w:rPr>
        <w:t xml:space="preserve"> mbeten kryesisht të qëndrueshme, me një ulje prej vetëm 4% brenda vitit 2035 krahasuar me vitin 2020. Shkarkimet vazhdojnë të dominohen nga fermentimi enterik, pasi numri i bagëtive ka ndryshime të vogla. Një reduktim modest i atribuohet uljes së përdorimit të uresë. Sektori i </w:t>
      </w:r>
      <w:r>
        <w:rPr>
          <w:rFonts w:asciiTheme="majorHAnsi" w:hAnsiTheme="majorHAnsi"/>
          <w:u w:val="single"/>
        </w:rPr>
        <w:t>PTNPTP-së</w:t>
      </w:r>
      <w:r>
        <w:rPr>
          <w:rFonts w:asciiTheme="majorHAnsi" w:hAnsiTheme="majorHAnsi"/>
        </w:rPr>
        <w:t xml:space="preserve"> (përdorimi i tokës, ndryshimi i përdorimit të tokës dhe pyjet) mbetet një burim neto shkarkimesh, në të cilin projektohet një rritje me 8% brenda vitit </w:t>
      </w:r>
      <w:r>
        <w:rPr>
          <w:rFonts w:asciiTheme="majorHAnsi" w:hAnsiTheme="majorHAnsi"/>
        </w:rPr>
        <w:lastRenderedPageBreak/>
        <w:t>2035 krahasuar me vitin 2020, sipas skenarit WEM të PKEK-së, pasi sekuestrimi i karbonit nga pyjet nuk është i mjaftueshëm për të kompensuar shkarkimet nga menaxhimi i pyjeve.</w:t>
      </w:r>
      <w:r>
        <w:rPr>
          <w:rFonts w:asciiTheme="majorHAnsi" w:hAnsiTheme="majorHAnsi"/>
          <w:strike/>
        </w:rPr>
        <w:t xml:space="preserve"> </w:t>
      </w:r>
      <w:r>
        <w:rPr>
          <w:rFonts w:asciiTheme="majorHAnsi" w:hAnsiTheme="majorHAnsi"/>
        </w:rPr>
        <w:t>Ndonëse zjarret e mëdha në pyje nuk paraqiten drejtpërdrejt në modelin e projeksionit, zona e prekur nga zjarret pritet të rritet me kalimin e kohës.</w:t>
      </w:r>
    </w:p>
    <w:p w14:paraId="34C63DB2" w14:textId="202E1419" w:rsidR="00561B14" w:rsidRPr="00561B14" w:rsidRDefault="004F3671" w:rsidP="00561B14">
      <w:pPr>
        <w:pStyle w:val="BodyText"/>
        <w:jc w:val="both"/>
        <w:rPr>
          <w:rFonts w:asciiTheme="majorHAnsi" w:hAnsiTheme="majorHAnsi" w:cstheme="majorHAnsi"/>
        </w:rPr>
      </w:pPr>
      <w:r>
        <w:rPr>
          <w:rFonts w:asciiTheme="majorHAnsi" w:hAnsiTheme="majorHAnsi"/>
        </w:rPr>
        <w:t xml:space="preserve">Shkarkimet nga sektori i </w:t>
      </w:r>
      <w:r>
        <w:rPr>
          <w:rFonts w:asciiTheme="majorHAnsi" w:hAnsiTheme="majorHAnsi"/>
          <w:u w:val="single"/>
        </w:rPr>
        <w:t>mbetjeve</w:t>
      </w:r>
      <w:r>
        <w:rPr>
          <w:rFonts w:asciiTheme="majorHAnsi" w:hAnsiTheme="majorHAnsi"/>
        </w:rPr>
        <w:t xml:space="preserve"> projektohen të ulen pas vitit 2025, ulje kjo e nxitur nga përmirësimet në menaxhimin e mbetjeve të ngurta dhe ujërave të ndotur, çka do të rezultojë në një reduktim të përgjithshëm me 33% brenda vitit 2035 krahasuar me vitin 2020. Megjithatë, vijojnë shkarkimet historike nga landfillet ekzistuese. Kalimi nga shkarkimi i drejtpërdrejtë në lumenj te sistemet e menaxhuara të ujërave të ndotura redukton gjithashtu shkarkimet e metanit.</w:t>
      </w:r>
    </w:p>
    <w:p w14:paraId="34C63DB4" w14:textId="40CC9C1B" w:rsidR="00561B14" w:rsidRPr="00DD11E1" w:rsidRDefault="004B4C96" w:rsidP="00684F24">
      <w:pPr>
        <w:pStyle w:val="BodyText"/>
        <w:jc w:val="both"/>
        <w:rPr>
          <w:rFonts w:asciiTheme="majorHAnsi" w:hAnsiTheme="majorHAnsi" w:cstheme="majorHAnsi"/>
        </w:rPr>
      </w:pPr>
      <w:r>
        <w:rPr>
          <w:rFonts w:asciiTheme="majorHAnsi" w:hAnsiTheme="majorHAnsi"/>
        </w:rPr>
        <w:t xml:space="preserve">Shkarkimet në sektorin e </w:t>
      </w:r>
      <w:r>
        <w:rPr>
          <w:rFonts w:asciiTheme="majorHAnsi" w:hAnsiTheme="majorHAnsi"/>
          <w:u w:val="single"/>
        </w:rPr>
        <w:t>proceseve industriale dhe përdorimit të produkteve</w:t>
      </w:r>
      <w:r>
        <w:rPr>
          <w:rFonts w:asciiTheme="majorHAnsi" w:hAnsiTheme="majorHAnsi"/>
        </w:rPr>
        <w:t xml:space="preserve"> (PIPP) rriten në mënyrë të qëndrueshme pas vitit 2030, të nxitura kryesisht nga prodhimi i çimentos dhe përdorimi i agjentëve ftohës që zëvendësojnë substancat ozonholluese, të cilat aktualisht janë burimi i dytë më i madh i shkarkimeve në sektorin e PIPP-ve (+34% në vitin 2035 krahasuar me vitin 2020). Nënsektorët e tjerë industrialë kanë kontribut relativisht të ulët.</w:t>
      </w:r>
    </w:p>
    <w:p w14:paraId="34C63DB5" w14:textId="3C018209" w:rsidR="00561B14" w:rsidRPr="00684F24" w:rsidRDefault="00852E36" w:rsidP="00561B14">
      <w:pPr>
        <w:pStyle w:val="BodyText"/>
        <w:jc w:val="center"/>
        <w:rPr>
          <w:rFonts w:asciiTheme="majorHAnsi" w:hAnsiTheme="majorHAnsi" w:cstheme="majorHAnsi"/>
        </w:rPr>
      </w:pPr>
      <w:r>
        <w:rPr>
          <w:rFonts w:asciiTheme="majorHAnsi" w:hAnsiTheme="majorHAnsi"/>
          <w:noProof/>
          <w:lang w:val="en-US"/>
        </w:rPr>
        <mc:AlternateContent>
          <mc:Choice Requires="wps">
            <w:drawing>
              <wp:anchor distT="45720" distB="45720" distL="114300" distR="114300" simplePos="0" relativeHeight="251645952" behindDoc="0" locked="0" layoutInCell="1" allowOverlap="1" wp14:anchorId="722C119C" wp14:editId="4BBA9CE2">
                <wp:simplePos x="0" y="0"/>
                <wp:positionH relativeFrom="margin">
                  <wp:posOffset>3403894</wp:posOffset>
                </wp:positionH>
                <wp:positionV relativeFrom="paragraph">
                  <wp:posOffset>2463066</wp:posOffset>
                </wp:positionV>
                <wp:extent cx="486270" cy="140462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70" cy="1404620"/>
                        </a:xfrm>
                        <a:prstGeom prst="rect">
                          <a:avLst/>
                        </a:prstGeom>
                        <a:solidFill>
                          <a:schemeClr val="bg1"/>
                        </a:solidFill>
                        <a:ln w="9525">
                          <a:noFill/>
                          <a:miter lim="800000"/>
                          <a:headEnd/>
                          <a:tailEnd/>
                        </a:ln>
                      </wps:spPr>
                      <wps:txbx>
                        <w:txbxContent>
                          <w:p w14:paraId="57E15229" w14:textId="3C10127F" w:rsidR="00376025" w:rsidRPr="00B14D18" w:rsidRDefault="00376025" w:rsidP="00B14D18">
                            <w:pPr>
                              <w:spacing w:before="0"/>
                              <w:rPr>
                                <w:rFonts w:ascii="Calibri" w:hAnsi="Calibri" w:cs="Calibri"/>
                                <w:sz w:val="12"/>
                              </w:rPr>
                            </w:pPr>
                            <w:r>
                              <w:rPr>
                                <w:rFonts w:ascii="Calibri" w:hAnsi="Calibri"/>
                                <w:sz w:val="12"/>
                              </w:rPr>
                              <w:t>PTNPTP/LULUCF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2C119C" id="Text Box 16" o:spid="_x0000_s1038" type="#_x0000_t202" style="position:absolute;left:0;text-align:left;margin-left:268pt;margin-top:193.95pt;width:38.3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" fillcolor="white [3212]" stroked="f">
                <v:textbox style="mso-fit-shape-to-text:t">
                  <w:txbxContent>
                    <w:p w14:paraId="57E15229" w14:textId="3C10127F" w:rsidR="00376025" w:rsidRPr="00B14D18" w:rsidRDefault="00376025" w:rsidP="00B14D18">
                      <w:pPr>
                        <w:spacing w:before="0"/>
                        <w:rPr>
                          <w:rFonts w:ascii="Calibri" w:hAnsi="Calibri" w:cs="Calibri"/>
                          <w:sz w:val="12"/>
                        </w:rPr>
                      </w:pPr>
                      <w:r>
                        <w:rPr>
                          <w:rFonts w:ascii="Calibri" w:hAnsi="Calibri"/>
                          <w:sz w:val="12"/>
                        </w:rPr>
                        <w:t>PTNPTP/LULUCF</w:t>
                      </w:r>
                    </w:p>
                  </w:txbxContent>
                </v:textbox>
                <w10:wrap anchorx="margin"/>
              </v:shape>
            </w:pict>
          </mc:Fallback>
        </mc:AlternateContent>
      </w:r>
      <w:r>
        <w:rPr>
          <w:rFonts w:asciiTheme="majorHAnsi" w:hAnsiTheme="majorHAnsi"/>
          <w:noProof/>
          <w:lang w:val="en-US"/>
        </w:rPr>
        <mc:AlternateContent>
          <mc:Choice Requires="wps">
            <w:drawing>
              <wp:anchor distT="45720" distB="45720" distL="114300" distR="114300" simplePos="0" relativeHeight="251640832" behindDoc="0" locked="0" layoutInCell="1" allowOverlap="1" wp14:anchorId="0647CA0B" wp14:editId="564CDD0D">
                <wp:simplePos x="0" y="0"/>
                <wp:positionH relativeFrom="margin">
                  <wp:posOffset>1770659</wp:posOffset>
                </wp:positionH>
                <wp:positionV relativeFrom="paragraph">
                  <wp:posOffset>2478923</wp:posOffset>
                </wp:positionV>
                <wp:extent cx="443986" cy="140462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86" cy="1404620"/>
                        </a:xfrm>
                        <a:prstGeom prst="rect">
                          <a:avLst/>
                        </a:prstGeom>
                        <a:solidFill>
                          <a:schemeClr val="bg1"/>
                        </a:solidFill>
                        <a:ln w="9525">
                          <a:noFill/>
                          <a:miter lim="800000"/>
                          <a:headEnd/>
                          <a:tailEnd/>
                        </a:ln>
                      </wps:spPr>
                      <wps:txbx>
                        <w:txbxContent>
                          <w:p w14:paraId="16E499FA" w14:textId="71B82FD2" w:rsidR="00376025" w:rsidRPr="00B14D18" w:rsidRDefault="00376025" w:rsidP="00196968">
                            <w:pPr>
                              <w:spacing w:before="0"/>
                              <w:rPr>
                                <w:rFonts w:ascii="Calibri" w:hAnsi="Calibri" w:cs="Calibri"/>
                                <w:sz w:val="12"/>
                              </w:rPr>
                            </w:pPr>
                            <w:r>
                              <w:rPr>
                                <w:rFonts w:ascii="Calibri" w:hAnsi="Calibri"/>
                                <w:sz w:val="12"/>
                              </w:rPr>
                              <w:t>Energjia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47CA0B" id="Text Box 14" o:spid="_x0000_s1039" type="#_x0000_t202" style="position:absolute;left:0;text-align:left;margin-left:139.4pt;margin-top:195.2pt;width:34.95pt;height:110.6pt;z-index:251640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" fillcolor="white [3212]" stroked="f">
                <v:textbox style="mso-fit-shape-to-text:t">
                  <w:txbxContent>
                    <w:p w14:paraId="16E499FA" w14:textId="71B82FD2" w:rsidR="00376025" w:rsidRPr="00B14D18" w:rsidRDefault="00376025" w:rsidP="00196968">
                      <w:pPr>
                        <w:spacing w:before="0"/>
                        <w:rPr>
                          <w:rFonts w:ascii="Calibri" w:hAnsi="Calibri" w:cs="Calibri"/>
                          <w:sz w:val="12"/>
                        </w:rPr>
                      </w:pPr>
                      <w:r>
                        <w:rPr>
                          <w:rFonts w:ascii="Calibri" w:hAnsi="Calibri"/>
                          <w:sz w:val="12"/>
                        </w:rPr>
                        <w:t>Energjia</w:t>
                      </w:r>
                    </w:p>
                  </w:txbxContent>
                </v:textbox>
                <w10:wrap anchorx="margin"/>
              </v:shape>
            </w:pict>
          </mc:Fallback>
        </mc:AlternateContent>
      </w:r>
      <w:r w:rsidR="00B14D18">
        <w:rPr>
          <w:rFonts w:asciiTheme="majorHAnsi" w:hAnsiTheme="majorHAnsi"/>
          <w:noProof/>
          <w:lang w:val="en-US"/>
        </w:rPr>
        <mc:AlternateContent>
          <mc:Choice Requires="wps">
            <w:drawing>
              <wp:anchor distT="45720" distB="45720" distL="114300" distR="114300" simplePos="0" relativeHeight="251637760" behindDoc="0" locked="0" layoutInCell="1" allowOverlap="1" wp14:anchorId="54BFB9C5" wp14:editId="6176B21D">
                <wp:simplePos x="0" y="0"/>
                <wp:positionH relativeFrom="margin">
                  <wp:posOffset>185420</wp:posOffset>
                </wp:positionH>
                <wp:positionV relativeFrom="paragraph">
                  <wp:posOffset>684530</wp:posOffset>
                </wp:positionV>
                <wp:extent cx="2563177" cy="1404620"/>
                <wp:effectExtent l="0" t="635" r="825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63177" cy="1404620"/>
                        </a:xfrm>
                        <a:prstGeom prst="rect">
                          <a:avLst/>
                        </a:prstGeom>
                        <a:solidFill>
                          <a:schemeClr val="bg1"/>
                        </a:solidFill>
                        <a:ln w="9525">
                          <a:noFill/>
                          <a:miter lim="800000"/>
                          <a:headEnd/>
                          <a:tailEnd/>
                        </a:ln>
                      </wps:spPr>
                      <wps:txbx>
                        <w:txbxContent>
                          <w:p w14:paraId="54663695" w14:textId="649C07B7" w:rsidR="00376025" w:rsidRPr="00196968" w:rsidRDefault="00376025" w:rsidP="00196968">
                            <w:pPr>
                              <w:spacing w:before="0"/>
                              <w:rPr>
                                <w:rFonts w:ascii="Calibri" w:hAnsi="Calibri" w:cs="Calibri"/>
                                <w:sz w:val="18"/>
                              </w:rPr>
                            </w:pPr>
                            <w:r>
                              <w:rPr>
                                <w:rFonts w:ascii="Calibri" w:hAnsi="Calibri"/>
                                <w:sz w:val="18"/>
                              </w:rPr>
                              <w:t xml:space="preserve">Shkarkimet </w:t>
                            </w:r>
                            <w:r>
                              <w:rPr>
                                <w:rFonts w:ascii="Calibri" w:hAnsi="Calibri"/>
                                <w:sz w:val="18"/>
                              </w:rPr>
                              <w:t>dhe përthithjet e GES-ve në kt CO2eq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BFB9C5" id="Text Box 13" o:spid="_x0000_s1040" type="#_x0000_t202" style="position:absolute;left:0;text-align:left;margin-left:14.6pt;margin-top:53.9pt;width:201.8pt;height:110.6pt;rotation:-90;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" fillcolor="white [3212]" stroked="f">
                <v:textbox style="mso-fit-shape-to-text:t">
                  <w:txbxContent>
                    <w:p w14:paraId="54663695" w14:textId="649C07B7" w:rsidR="00376025" w:rsidRPr="00196968" w:rsidRDefault="00376025" w:rsidP="00196968">
                      <w:pPr>
                        <w:spacing w:before="0"/>
                        <w:rPr>
                          <w:rFonts w:ascii="Calibri" w:hAnsi="Calibri" w:cs="Calibri"/>
                          <w:sz w:val="18"/>
                        </w:rPr>
                      </w:pPr>
                      <w:r>
                        <w:rPr>
                          <w:rFonts w:ascii="Calibri" w:hAnsi="Calibri"/>
                          <w:sz w:val="18"/>
                        </w:rPr>
                        <w:t xml:space="preserve">Shkarkimet </w:t>
                      </w:r>
                      <w:r>
                        <w:rPr>
                          <w:rFonts w:ascii="Calibri" w:hAnsi="Calibri"/>
                          <w:sz w:val="18"/>
                        </w:rPr>
                        <w:t>dhe përthithjet e GES-ve në kt CO2eq</w:t>
                      </w:r>
                    </w:p>
                  </w:txbxContent>
                </v:textbox>
                <w10:wrap anchorx="margin"/>
              </v:shape>
            </w:pict>
          </mc:Fallback>
        </mc:AlternateContent>
      </w:r>
      <w:r w:rsidR="00B14D18">
        <w:rPr>
          <w:rFonts w:asciiTheme="majorHAnsi" w:hAnsiTheme="majorHAnsi"/>
          <w:noProof/>
          <w:lang w:val="en-US"/>
        </w:rPr>
        <mc:AlternateContent>
          <mc:Choice Requires="wps">
            <w:drawing>
              <wp:anchor distT="45720" distB="45720" distL="114300" distR="114300" simplePos="0" relativeHeight="251634688" behindDoc="0" locked="0" layoutInCell="1" allowOverlap="1" wp14:anchorId="7E3DFEF8" wp14:editId="7F981689">
                <wp:simplePos x="0" y="0"/>
                <wp:positionH relativeFrom="margin">
                  <wp:posOffset>2274073</wp:posOffset>
                </wp:positionH>
                <wp:positionV relativeFrom="paragraph">
                  <wp:posOffset>2462171</wp:posOffset>
                </wp:positionV>
                <wp:extent cx="341906" cy="1404620"/>
                <wp:effectExtent l="0" t="0" r="127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1404620"/>
                        </a:xfrm>
                        <a:prstGeom prst="rect">
                          <a:avLst/>
                        </a:prstGeom>
                        <a:solidFill>
                          <a:schemeClr val="bg1"/>
                        </a:solidFill>
                        <a:ln w="9525">
                          <a:noFill/>
                          <a:miter lim="800000"/>
                          <a:headEnd/>
                          <a:tailEnd/>
                        </a:ln>
                      </wps:spPr>
                      <wps:txbx>
                        <w:txbxContent>
                          <w:p w14:paraId="325794AD" w14:textId="02EE2EF8" w:rsidR="00376025" w:rsidRPr="00B14D18" w:rsidRDefault="00376025" w:rsidP="00196968">
                            <w:pPr>
                              <w:spacing w:before="0"/>
                              <w:rPr>
                                <w:rFonts w:ascii="Calibri" w:hAnsi="Calibri" w:cs="Calibri"/>
                                <w:sz w:val="12"/>
                              </w:rPr>
                            </w:pPr>
                            <w:r>
                              <w:rPr>
                                <w:rFonts w:ascii="Calibri" w:hAnsi="Calibri"/>
                                <w:sz w:val="12"/>
                              </w:rPr>
                              <w:t>PIPP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3DFEF8" id="Text Box 12" o:spid="_x0000_s1041" type="#_x0000_t202" style="position:absolute;left:0;text-align:left;margin-left:179.05pt;margin-top:193.85pt;width:26.9pt;height:110.6pt;z-index:2516346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" fillcolor="white [3212]" stroked="f">
                <v:textbox style="mso-fit-shape-to-text:t">
                  <w:txbxContent>
                    <w:p w14:paraId="325794AD" w14:textId="02EE2EF8" w:rsidR="00376025" w:rsidRPr="00B14D18" w:rsidRDefault="00376025" w:rsidP="00196968">
                      <w:pPr>
                        <w:spacing w:before="0"/>
                        <w:rPr>
                          <w:rFonts w:ascii="Calibri" w:hAnsi="Calibri" w:cs="Calibri"/>
                          <w:sz w:val="12"/>
                        </w:rPr>
                      </w:pPr>
                      <w:r>
                        <w:rPr>
                          <w:rFonts w:ascii="Calibri" w:hAnsi="Calibri"/>
                          <w:sz w:val="12"/>
                        </w:rPr>
                        <w:t>PIPP</w:t>
                      </w:r>
                    </w:p>
                  </w:txbxContent>
                </v:textbox>
                <w10:wrap anchorx="margin"/>
              </v:shape>
            </w:pict>
          </mc:Fallback>
        </mc:AlternateContent>
      </w:r>
      <w:r w:rsidR="00B14D18">
        <w:rPr>
          <w:rFonts w:asciiTheme="majorHAnsi" w:hAnsiTheme="majorHAnsi"/>
          <w:noProof/>
          <w:lang w:val="en-US"/>
        </w:rPr>
        <mc:AlternateContent>
          <mc:Choice Requires="wps">
            <w:drawing>
              <wp:anchor distT="45720" distB="45720" distL="114300" distR="114300" simplePos="0" relativeHeight="251649024" behindDoc="0" locked="0" layoutInCell="1" allowOverlap="1" wp14:anchorId="369E560F" wp14:editId="45E04B9D">
                <wp:simplePos x="0" y="0"/>
                <wp:positionH relativeFrom="margin">
                  <wp:posOffset>3991555</wp:posOffset>
                </wp:positionH>
                <wp:positionV relativeFrom="paragraph">
                  <wp:posOffset>2478612</wp:posOffset>
                </wp:positionV>
                <wp:extent cx="445273"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73" cy="1404620"/>
                        </a:xfrm>
                        <a:prstGeom prst="rect">
                          <a:avLst/>
                        </a:prstGeom>
                        <a:solidFill>
                          <a:schemeClr val="bg1"/>
                        </a:solidFill>
                        <a:ln w="9525">
                          <a:noFill/>
                          <a:miter lim="800000"/>
                          <a:headEnd/>
                          <a:tailEnd/>
                        </a:ln>
                      </wps:spPr>
                      <wps:txbx>
                        <w:txbxContent>
                          <w:p w14:paraId="1F3DF16E" w14:textId="09D4199C" w:rsidR="00376025" w:rsidRPr="00B14D18" w:rsidRDefault="00376025" w:rsidP="00B14D18">
                            <w:pPr>
                              <w:spacing w:before="0"/>
                              <w:rPr>
                                <w:rFonts w:ascii="Calibri" w:hAnsi="Calibri" w:cs="Calibri"/>
                                <w:sz w:val="12"/>
                              </w:rPr>
                            </w:pPr>
                            <w:r>
                              <w:rPr>
                                <w:rFonts w:ascii="Calibri" w:hAnsi="Calibri"/>
                                <w:sz w:val="12"/>
                              </w:rPr>
                              <w:t>Mbetjet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E560F" id="Text Box 17" o:spid="_x0000_s1042" type="#_x0000_t202" style="position:absolute;left:0;text-align:left;margin-left:314.3pt;margin-top:195.15pt;width:35.05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" fillcolor="white [3212]" stroked="f">
                <v:textbox style="mso-fit-shape-to-text:t">
                  <w:txbxContent>
                    <w:p w14:paraId="1F3DF16E" w14:textId="09D4199C" w:rsidR="00376025" w:rsidRPr="00B14D18" w:rsidRDefault="00376025" w:rsidP="00B14D18">
                      <w:pPr>
                        <w:spacing w:before="0"/>
                        <w:rPr>
                          <w:rFonts w:ascii="Calibri" w:hAnsi="Calibri" w:cs="Calibri"/>
                          <w:sz w:val="12"/>
                        </w:rPr>
                      </w:pPr>
                      <w:r>
                        <w:rPr>
                          <w:rFonts w:ascii="Calibri" w:hAnsi="Calibri"/>
                          <w:sz w:val="12"/>
                        </w:rPr>
                        <w:t>Mbetjet</w:t>
                      </w:r>
                    </w:p>
                  </w:txbxContent>
                </v:textbox>
                <w10:wrap anchorx="margin"/>
              </v:shape>
            </w:pict>
          </mc:Fallback>
        </mc:AlternateContent>
      </w:r>
      <w:r w:rsidR="00B14D18">
        <w:rPr>
          <w:rFonts w:asciiTheme="majorHAnsi" w:hAnsiTheme="majorHAnsi"/>
          <w:noProof/>
          <w:lang w:val="en-US"/>
        </w:rPr>
        <mc:AlternateContent>
          <mc:Choice Requires="wps">
            <w:drawing>
              <wp:anchor distT="45720" distB="45720" distL="114300" distR="114300" simplePos="0" relativeHeight="251642880" behindDoc="0" locked="0" layoutInCell="1" allowOverlap="1" wp14:anchorId="6C63CF02" wp14:editId="6B7CDA2F">
                <wp:simplePos x="0" y="0"/>
                <wp:positionH relativeFrom="margin">
                  <wp:posOffset>2727297</wp:posOffset>
                </wp:positionH>
                <wp:positionV relativeFrom="paragraph">
                  <wp:posOffset>2461564</wp:posOffset>
                </wp:positionV>
                <wp:extent cx="548640" cy="1404620"/>
                <wp:effectExtent l="0" t="0" r="381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chemeClr val="bg1"/>
                        </a:solidFill>
                        <a:ln w="9525">
                          <a:noFill/>
                          <a:miter lim="800000"/>
                          <a:headEnd/>
                          <a:tailEnd/>
                        </a:ln>
                      </wps:spPr>
                      <wps:txbx>
                        <w:txbxContent>
                          <w:p w14:paraId="5255F304" w14:textId="12FD32CA" w:rsidR="00376025" w:rsidRPr="00B14D18" w:rsidRDefault="00376025" w:rsidP="00B14D18">
                            <w:pPr>
                              <w:spacing w:before="0"/>
                              <w:rPr>
                                <w:rFonts w:ascii="Calibri" w:hAnsi="Calibri" w:cs="Calibri"/>
                                <w:sz w:val="12"/>
                              </w:rPr>
                            </w:pPr>
                            <w:r>
                              <w:rPr>
                                <w:rFonts w:ascii="Calibri" w:hAnsi="Calibri"/>
                                <w:sz w:val="12"/>
                              </w:rPr>
                              <w:t>Bujqësia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63CF02" id="Text Box 15" o:spid="_x0000_s1043" type="#_x0000_t202" style="position:absolute;left:0;text-align:left;margin-left:214.75pt;margin-top:193.8pt;width:43.2pt;height:110.6pt;z-index:2516428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" fillcolor="white [3212]" stroked="f">
                <v:textbox style="mso-fit-shape-to-text:t">
                  <w:txbxContent>
                    <w:p w14:paraId="5255F304" w14:textId="12FD32CA" w:rsidR="00376025" w:rsidRPr="00B14D18" w:rsidRDefault="00376025" w:rsidP="00B14D18">
                      <w:pPr>
                        <w:spacing w:before="0"/>
                        <w:rPr>
                          <w:rFonts w:ascii="Calibri" w:hAnsi="Calibri" w:cs="Calibri"/>
                          <w:sz w:val="12"/>
                        </w:rPr>
                      </w:pPr>
                      <w:r>
                        <w:rPr>
                          <w:rFonts w:ascii="Calibri" w:hAnsi="Calibri"/>
                          <w:sz w:val="12"/>
                        </w:rPr>
                        <w:t>Bujqësia</w:t>
                      </w:r>
                    </w:p>
                  </w:txbxContent>
                </v:textbox>
                <w10:wrap anchorx="margin"/>
              </v:shape>
            </w:pict>
          </mc:Fallback>
        </mc:AlternateContent>
      </w:r>
      <w:r w:rsidR="00B14D18">
        <w:rPr>
          <w:noProof/>
          <w:lang w:val="en-US"/>
        </w:rPr>
        <w:drawing>
          <wp:inline distT="0" distB="0" distL="0" distR="0" wp14:anchorId="34C6425D" wp14:editId="0D79CF86">
            <wp:extent cx="4574540" cy="2740660"/>
            <wp:effectExtent l="19050" t="19050" r="16510" b="21590"/>
            <wp:docPr id="797855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4540" cy="2740660"/>
                    </a:xfrm>
                    <a:prstGeom prst="rect">
                      <a:avLst/>
                    </a:prstGeom>
                    <a:noFill/>
                    <a:ln w="3175">
                      <a:solidFill>
                        <a:schemeClr val="tx1"/>
                      </a:solidFill>
                    </a:ln>
                  </pic:spPr>
                </pic:pic>
              </a:graphicData>
            </a:graphic>
          </wp:inline>
        </w:drawing>
      </w:r>
    </w:p>
    <w:p w14:paraId="34C63DB6" w14:textId="00E0D922" w:rsidR="00561B14" w:rsidRPr="00420F06" w:rsidRDefault="00561B14" w:rsidP="00561B14">
      <w:pPr>
        <w:pStyle w:val="Caption"/>
        <w:rPr>
          <w:rFonts w:cstheme="majorHAnsi"/>
        </w:rPr>
      </w:pPr>
      <w:bookmarkStart w:id="22" w:name="_Ref204964725"/>
      <w:bookmarkStart w:id="23" w:name="_Toc216778898"/>
      <w:r>
        <w:t xml:space="preserve">Figura </w:t>
      </w:r>
      <w:r w:rsidR="00387652" w:rsidRPr="00420F06">
        <w:rPr>
          <w:rFonts w:cstheme="majorHAnsi"/>
        </w:rPr>
        <w:fldChar w:fldCharType="begin"/>
      </w:r>
      <w:r w:rsidRPr="00420F06">
        <w:rPr>
          <w:rFonts w:cstheme="majorHAnsi"/>
        </w:rPr>
        <w:instrText xml:space="preserve"> SEQ Figure \* ARABIC </w:instrText>
      </w:r>
      <w:r w:rsidR="00387652" w:rsidRPr="00420F06">
        <w:rPr>
          <w:rFonts w:cstheme="majorHAnsi"/>
        </w:rPr>
        <w:fldChar w:fldCharType="separate"/>
      </w:r>
      <w:r w:rsidR="00D0533E">
        <w:rPr>
          <w:rFonts w:cstheme="majorHAnsi"/>
          <w:noProof/>
        </w:rPr>
        <w:t>3</w:t>
      </w:r>
      <w:r w:rsidR="00387652" w:rsidRPr="00420F06">
        <w:rPr>
          <w:rFonts w:cstheme="majorHAnsi"/>
        </w:rPr>
        <w:fldChar w:fldCharType="end"/>
      </w:r>
      <w:bookmarkEnd w:id="22"/>
      <w:r>
        <w:t>: Projeksioni i shkarkimeve të GES-ve sipas skenarit WEM (burimi: PKEK 2025)</w:t>
      </w:r>
      <w:bookmarkEnd w:id="23"/>
    </w:p>
    <w:p w14:paraId="34C63DB7" w14:textId="520C2A85" w:rsidR="00561B14" w:rsidRPr="00561B14" w:rsidRDefault="00561B14" w:rsidP="00561B14">
      <w:pPr>
        <w:pStyle w:val="BodyText"/>
        <w:jc w:val="both"/>
        <w:rPr>
          <w:rFonts w:asciiTheme="majorHAnsi" w:hAnsiTheme="majorHAnsi" w:cstheme="majorHAnsi"/>
          <w:lang w:val="en-US"/>
        </w:rPr>
      </w:pPr>
    </w:p>
    <w:p w14:paraId="34C63DB8" w14:textId="2ECA46FD" w:rsidR="00561B14" w:rsidRPr="00561B14" w:rsidRDefault="00561B14" w:rsidP="00561B14">
      <w:pPr>
        <w:pStyle w:val="BodyText"/>
        <w:jc w:val="both"/>
        <w:rPr>
          <w:rFonts w:asciiTheme="majorHAnsi" w:hAnsiTheme="majorHAnsi" w:cstheme="majorHAnsi"/>
        </w:rPr>
      </w:pPr>
      <w:r>
        <w:rPr>
          <w:rFonts w:asciiTheme="majorHAnsi" w:hAnsiTheme="majorHAnsi"/>
        </w:rPr>
        <w:t xml:space="preserve">Në </w:t>
      </w:r>
      <w:r>
        <w:rPr>
          <w:rFonts w:asciiTheme="majorHAnsi" w:hAnsiTheme="majorHAnsi"/>
          <w:b/>
          <w:bCs/>
        </w:rPr>
        <w:t>skenarin WAM</w:t>
      </w:r>
      <w:r>
        <w:rPr>
          <w:rFonts w:asciiTheme="majorHAnsi" w:hAnsiTheme="majorHAnsi"/>
        </w:rPr>
        <w:t xml:space="preserve"> (</w:t>
      </w:r>
      <w:r w:rsidR="00387652">
        <w:rPr>
          <w:rFonts w:asciiTheme="majorHAnsi" w:hAnsiTheme="majorHAnsi" w:cstheme="majorHAnsi"/>
        </w:rPr>
        <w:fldChar w:fldCharType="begin"/>
      </w:r>
      <w:r>
        <w:rPr>
          <w:rFonts w:asciiTheme="majorHAnsi" w:hAnsiTheme="majorHAnsi" w:cstheme="majorHAnsi"/>
        </w:rPr>
        <w:instrText xml:space="preserve"> REF _Ref204964770 \h </w:instrText>
      </w:r>
      <w:r w:rsidR="00387652">
        <w:rPr>
          <w:rFonts w:asciiTheme="majorHAnsi" w:hAnsiTheme="majorHAnsi" w:cstheme="majorHAnsi"/>
        </w:rPr>
      </w:r>
      <w:r w:rsidR="00387652">
        <w:rPr>
          <w:rFonts w:asciiTheme="majorHAnsi" w:hAnsiTheme="majorHAnsi" w:cstheme="majorHAnsi"/>
        </w:rPr>
        <w:fldChar w:fldCharType="separate"/>
      </w:r>
      <w:r w:rsidR="00D0533E">
        <w:t xml:space="preserve">Figura </w:t>
      </w:r>
      <w:r w:rsidR="00D0533E">
        <w:rPr>
          <w:rFonts w:cstheme="majorHAnsi"/>
          <w:noProof/>
        </w:rPr>
        <w:t>4</w:t>
      </w:r>
      <w:r w:rsidR="00387652">
        <w:rPr>
          <w:rFonts w:asciiTheme="majorHAnsi" w:hAnsiTheme="majorHAnsi" w:cstheme="majorHAnsi"/>
        </w:rPr>
        <w:fldChar w:fldCharType="end"/>
      </w:r>
      <w:r>
        <w:rPr>
          <w:rFonts w:asciiTheme="majorHAnsi" w:hAnsiTheme="majorHAnsi"/>
        </w:rPr>
        <w:t xml:space="preserve">), centralet për prodhimin e energjisë së rinovueshme supozohet të funksionojnë me kapacitet të plotë pavarësisht kërkesës së brendshme për energji elektrike, mundësuar kjo nga tregu i energjisë likuide dhe kapacitetet e forta të interkoneksionit. Duke qenë se energjia elektrike e rinovueshme ka kosto operacionale minimale, teprica e energjisë eksportohet, zakonisht pa ndikuar në rezultatet e përgjithshme. </w:t>
      </w:r>
    </w:p>
    <w:p w14:paraId="34C63DBA" w14:textId="2CFBC7EF" w:rsidR="00561B14" w:rsidRPr="00561B14" w:rsidRDefault="004E4DCC" w:rsidP="00561B14">
      <w:pPr>
        <w:pStyle w:val="BodyText"/>
        <w:jc w:val="both"/>
        <w:rPr>
          <w:rFonts w:asciiTheme="majorHAnsi" w:hAnsiTheme="majorHAnsi" w:cstheme="majorHAnsi"/>
        </w:rPr>
      </w:pPr>
      <w:r>
        <w:rPr>
          <w:rFonts w:asciiTheme="majorHAnsi" w:hAnsiTheme="majorHAnsi"/>
        </w:rPr>
        <w:t xml:space="preserve">Në sektorin e </w:t>
      </w:r>
      <w:r>
        <w:rPr>
          <w:rFonts w:asciiTheme="majorHAnsi" w:hAnsiTheme="majorHAnsi"/>
          <w:u w:val="single"/>
        </w:rPr>
        <w:t>banesave</w:t>
      </w:r>
      <w:r>
        <w:rPr>
          <w:rFonts w:asciiTheme="majorHAnsi" w:hAnsiTheme="majorHAnsi"/>
        </w:rPr>
        <w:t xml:space="preserve">, shkarkimet projektohen të ulen kryesisht për shkak të aplikimit të gjerë të pompave të nxehtësisë, elektrifikimit të sistemeve të gatimit, si dhe uljes së kërkesës për energji elektrike falë rinovimit të ndërtesave, duke sjellë një ulje me 33% brenda vitit 2035 krahasuar me vitin 2020. </w:t>
      </w:r>
      <w:r>
        <w:rPr>
          <w:rFonts w:asciiTheme="majorHAnsi" w:hAnsiTheme="majorHAnsi"/>
        </w:rPr>
        <w:br/>
      </w:r>
      <w:r>
        <w:rPr>
          <w:rFonts w:asciiTheme="majorHAnsi" w:hAnsiTheme="majorHAnsi"/>
        </w:rPr>
        <w:lastRenderedPageBreak/>
        <w:t xml:space="preserve">Shkarkimet në sektorin e </w:t>
      </w:r>
      <w:r>
        <w:rPr>
          <w:rFonts w:asciiTheme="majorHAnsi" w:hAnsiTheme="majorHAnsi"/>
          <w:u w:val="single"/>
        </w:rPr>
        <w:t>shërbimeve</w:t>
      </w:r>
      <w:r>
        <w:rPr>
          <w:rFonts w:asciiTheme="majorHAnsi" w:hAnsiTheme="majorHAnsi"/>
        </w:rPr>
        <w:t xml:space="preserve"> rriten si përgjigje ndaj rritjes së aktivitetit ekonomik, ndërsa shkarkimet në sektorin e </w:t>
      </w:r>
      <w:r>
        <w:rPr>
          <w:rFonts w:asciiTheme="majorHAnsi" w:hAnsiTheme="majorHAnsi"/>
          <w:u w:val="single"/>
        </w:rPr>
        <w:t>industrisë</w:t>
      </w:r>
      <w:r>
        <w:rPr>
          <w:rFonts w:asciiTheme="majorHAnsi" w:hAnsiTheme="majorHAnsi"/>
        </w:rPr>
        <w:t xml:space="preserve"> janë dukshëm më të ulëta se sa në skenarin WEM, gjë e cila pasqyron rritjen e elektrifikimit, zëvendësimin e lëndëve djegëse, si dhe përmirësimin e efiçencës së energjisë. Në përgjithësi, shkarkimet në sektorin e industrisë projektohen të rriten me 34% në vitin 2035 krahasuar me vitin 2020.</w:t>
      </w:r>
      <w:r>
        <w:rPr>
          <w:rFonts w:asciiTheme="majorHAnsi" w:hAnsiTheme="majorHAnsi"/>
        </w:rPr>
        <w:br/>
        <w:t xml:space="preserve">Në sektorin e </w:t>
      </w:r>
      <w:r>
        <w:rPr>
          <w:rFonts w:asciiTheme="majorHAnsi" w:hAnsiTheme="majorHAnsi"/>
          <w:u w:val="single"/>
        </w:rPr>
        <w:t>transportit</w:t>
      </w:r>
      <w:r>
        <w:rPr>
          <w:rFonts w:asciiTheme="majorHAnsi" w:hAnsiTheme="majorHAnsi"/>
        </w:rPr>
        <w:t>, shkarkimet mbeten të qëndrueshme deri në vitin 2030, dhe më pas do të ulen gradualisht për shkak të rritjes së elektrifikimit, përdorimit të hidrogjenit dhe zgjerimit të opsioneve të transportit publik për pasagjerët dhe mallrat, çka do të rezultojë në një ulje prej 7% brenda vitit 2035 krahasuar me vitin 2020.</w:t>
      </w:r>
    </w:p>
    <w:p w14:paraId="34C63DBB" w14:textId="3C831B4C" w:rsidR="00561B14" w:rsidRPr="00561B14" w:rsidRDefault="00A438D7" w:rsidP="00561B14">
      <w:pPr>
        <w:pStyle w:val="BodyText"/>
        <w:jc w:val="both"/>
        <w:rPr>
          <w:rFonts w:asciiTheme="majorHAnsi" w:hAnsiTheme="majorHAnsi" w:cstheme="majorHAnsi"/>
        </w:rPr>
      </w:pPr>
      <w:r>
        <w:rPr>
          <w:rFonts w:asciiTheme="majorHAnsi" w:hAnsiTheme="majorHAnsi"/>
        </w:rPr>
        <w:t xml:space="preserve">Skenarët WEM dhe WAM ndryshojnë ndjeshëm në </w:t>
      </w:r>
      <w:r>
        <w:rPr>
          <w:rFonts w:asciiTheme="majorHAnsi" w:hAnsiTheme="majorHAnsi"/>
          <w:i/>
          <w:iCs/>
          <w:u w:val="single"/>
        </w:rPr>
        <w:t>sektorin e PTNPTP-së</w:t>
      </w:r>
      <w:r>
        <w:rPr>
          <w:rFonts w:asciiTheme="majorHAnsi" w:hAnsiTheme="majorHAnsi"/>
        </w:rPr>
        <w:t xml:space="preserve">. Ndonëse kapaciteti i përgjithshëm i përthithjes mbetet i qëndrueshëm dhe i krahasueshëm mes dy skenarëve, shkarkimet nga </w:t>
      </w:r>
      <w:r>
        <w:rPr>
          <w:rFonts w:asciiTheme="majorHAnsi" w:hAnsiTheme="majorHAnsi"/>
          <w:u w:val="single"/>
        </w:rPr>
        <w:t>menaxhimi i pyjeve</w:t>
      </w:r>
      <w:r>
        <w:rPr>
          <w:rFonts w:asciiTheme="majorHAnsi" w:hAnsiTheme="majorHAnsi"/>
        </w:rPr>
        <w:t xml:space="preserve"> ulen ndjeshëm për shkak të përmirësimit të praktikave të qëndrueshme dhe rritjes së sekuestrimit të karbonit. Si rezultat, shkarkimet projektohen të bien me 41% në vitin 2035 krahasuar me vitin 2020.</w:t>
      </w:r>
    </w:p>
    <w:p w14:paraId="34C63DBC" w14:textId="77777777" w:rsidR="00561B14" w:rsidRPr="00561B14" w:rsidRDefault="00561B14" w:rsidP="00561B14">
      <w:pPr>
        <w:pStyle w:val="BodyText"/>
        <w:jc w:val="both"/>
        <w:rPr>
          <w:rFonts w:asciiTheme="majorHAnsi" w:hAnsiTheme="majorHAnsi" w:cstheme="majorHAnsi"/>
        </w:rPr>
      </w:pPr>
      <w:r>
        <w:rPr>
          <w:rFonts w:asciiTheme="majorHAnsi" w:hAnsiTheme="majorHAnsi"/>
        </w:rPr>
        <w:t xml:space="preserve">Një tjetër ndryshim i rëndësishëm vjen nga </w:t>
      </w:r>
      <w:r>
        <w:rPr>
          <w:rFonts w:asciiTheme="majorHAnsi" w:hAnsiTheme="majorHAnsi"/>
          <w:u w:val="single"/>
        </w:rPr>
        <w:t>industria e çimentos</w:t>
      </w:r>
      <w:r>
        <w:rPr>
          <w:rFonts w:asciiTheme="majorHAnsi" w:hAnsiTheme="majorHAnsi"/>
        </w:rPr>
        <w:t>, në të cilën supozohet aplikimi i teknologjisë për kapjen dhe përdorimin e karbonit (CCU). Brenda vitit 2050, këto masa projektohen të reduktojnë me 80% shkarkimet që lidhen me çimenton (ku përfshihen shkarkimet nga proceset dhe djegia).</w:t>
      </w:r>
    </w:p>
    <w:p w14:paraId="34C63DBD" w14:textId="0CBAF85F" w:rsidR="00561B14" w:rsidRPr="00561B14" w:rsidRDefault="00A438D7" w:rsidP="00561B14">
      <w:pPr>
        <w:pStyle w:val="BodyText"/>
        <w:jc w:val="both"/>
        <w:rPr>
          <w:rFonts w:asciiTheme="majorHAnsi" w:hAnsiTheme="majorHAnsi" w:cstheme="majorHAnsi"/>
        </w:rPr>
      </w:pPr>
      <w:r>
        <w:rPr>
          <w:rFonts w:asciiTheme="majorHAnsi" w:hAnsiTheme="majorHAnsi"/>
        </w:rPr>
        <w:t>Sektorët e tjerë shfaqin reduktime mesatare krahasuar me skenarin WEM, sidomos bujqësia, ku shkarkimet ulen me 12% deri në vitin 2035 krahasuar me vitin 2020, për shkak të masave të synuara për reduktimin e metanit nga fermentimi enterik. Strategjia ambicioze për menaxhimin e mbetjeve, e përfshirë tashmë në skenarin WEM, vazhdon të mbështesë reduktimin e shkarkimeve në perspektivën e skenarit WAM.</w:t>
      </w:r>
    </w:p>
    <w:p w14:paraId="34C63DBE" w14:textId="77777777" w:rsidR="00684F24" w:rsidRPr="00376025" w:rsidRDefault="00684F24" w:rsidP="00213150">
      <w:pPr>
        <w:pStyle w:val="BodyText"/>
        <w:jc w:val="both"/>
        <w:rPr>
          <w:rFonts w:asciiTheme="majorHAnsi" w:hAnsiTheme="majorHAnsi" w:cstheme="majorHAnsi"/>
        </w:rPr>
      </w:pPr>
    </w:p>
    <w:p w14:paraId="34C63DBF" w14:textId="21C7739D" w:rsidR="00684F24" w:rsidRDefault="00852E36" w:rsidP="00C76029">
      <w:pPr>
        <w:pStyle w:val="BodyText"/>
        <w:jc w:val="center"/>
        <w:rPr>
          <w:rFonts w:asciiTheme="majorHAnsi" w:hAnsiTheme="majorHAnsi" w:cstheme="majorHAnsi"/>
        </w:rPr>
      </w:pPr>
      <w:r>
        <w:rPr>
          <w:rFonts w:asciiTheme="majorHAnsi" w:hAnsiTheme="majorHAnsi"/>
          <w:noProof/>
          <w:lang w:val="en-US"/>
        </w:rPr>
        <mc:AlternateContent>
          <mc:Choice Requires="wps">
            <w:drawing>
              <wp:anchor distT="45720" distB="45720" distL="114300" distR="114300" simplePos="0" relativeHeight="251667456" behindDoc="0" locked="0" layoutInCell="1" allowOverlap="1" wp14:anchorId="22B73A5C" wp14:editId="701B453F">
                <wp:simplePos x="0" y="0"/>
                <wp:positionH relativeFrom="margin">
                  <wp:posOffset>3408218</wp:posOffset>
                </wp:positionH>
                <wp:positionV relativeFrom="paragraph">
                  <wp:posOffset>2469012</wp:posOffset>
                </wp:positionV>
                <wp:extent cx="486888" cy="1404620"/>
                <wp:effectExtent l="0" t="0" r="889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88" cy="1404620"/>
                        </a:xfrm>
                        <a:prstGeom prst="rect">
                          <a:avLst/>
                        </a:prstGeom>
                        <a:solidFill>
                          <a:schemeClr val="bg1"/>
                        </a:solidFill>
                        <a:ln w="9525">
                          <a:noFill/>
                          <a:miter lim="800000"/>
                          <a:headEnd/>
                          <a:tailEnd/>
                        </a:ln>
                      </wps:spPr>
                      <wps:txbx>
                        <w:txbxContent>
                          <w:p w14:paraId="2BB18850" w14:textId="77777777" w:rsidR="00376025" w:rsidRPr="00B14D18" w:rsidRDefault="00376025" w:rsidP="00B14D18">
                            <w:pPr>
                              <w:spacing w:before="0"/>
                              <w:rPr>
                                <w:rFonts w:ascii="Calibri" w:hAnsi="Calibri" w:cs="Calibri"/>
                                <w:sz w:val="12"/>
                              </w:rPr>
                            </w:pPr>
                            <w:r>
                              <w:rPr>
                                <w:rFonts w:ascii="Calibri" w:hAnsi="Calibri"/>
                                <w:sz w:val="12"/>
                              </w:rPr>
                              <w:t>PTNPTP/LULUCF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73A5C" id="Text Box 22" o:spid="_x0000_s1044" type="#_x0000_t202" style="position:absolute;left:0;text-align:left;margin-left:268.35pt;margin-top:194.4pt;width:38.3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" fillcolor="white [3212]" stroked="f">
                <v:textbox style="mso-fit-shape-to-text:t">
                  <w:txbxContent>
                    <w:p w14:paraId="2BB18850" w14:textId="77777777" w:rsidR="00376025" w:rsidRPr="00B14D18" w:rsidRDefault="00376025" w:rsidP="00B14D18">
                      <w:pPr>
                        <w:spacing w:before="0"/>
                        <w:rPr>
                          <w:rFonts w:ascii="Calibri" w:hAnsi="Calibri" w:cs="Calibri"/>
                          <w:sz w:val="12"/>
                        </w:rPr>
                      </w:pPr>
                      <w:r>
                        <w:rPr>
                          <w:rFonts w:ascii="Calibri" w:hAnsi="Calibri"/>
                          <w:sz w:val="12"/>
                        </w:rPr>
                        <w:t>PTNPTP/LULUCF</w:t>
                      </w:r>
                    </w:p>
                  </w:txbxContent>
                </v:textbox>
                <w10:wrap anchorx="margin"/>
              </v:shape>
            </w:pict>
          </mc:Fallback>
        </mc:AlternateContent>
      </w:r>
      <w:r>
        <w:rPr>
          <w:rFonts w:asciiTheme="majorHAnsi" w:hAnsiTheme="majorHAnsi"/>
          <w:noProof/>
          <w:lang w:val="en-US"/>
        </w:rPr>
        <mc:AlternateContent>
          <mc:Choice Requires="wps">
            <w:drawing>
              <wp:anchor distT="45720" distB="45720" distL="114300" distR="114300" simplePos="0" relativeHeight="251660288" behindDoc="0" locked="0" layoutInCell="1" allowOverlap="1" wp14:anchorId="088084A2" wp14:editId="0BC7CCBB">
                <wp:simplePos x="0" y="0"/>
                <wp:positionH relativeFrom="margin">
                  <wp:posOffset>1763486</wp:posOffset>
                </wp:positionH>
                <wp:positionV relativeFrom="paragraph">
                  <wp:posOffset>2451199</wp:posOffset>
                </wp:positionV>
                <wp:extent cx="457200"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solidFill>
                          <a:schemeClr val="bg1"/>
                        </a:solidFill>
                        <a:ln w="9525">
                          <a:noFill/>
                          <a:miter lim="800000"/>
                          <a:headEnd/>
                          <a:tailEnd/>
                        </a:ln>
                      </wps:spPr>
                      <wps:txbx>
                        <w:txbxContent>
                          <w:p w14:paraId="21C2564E" w14:textId="77777777" w:rsidR="00376025" w:rsidRPr="00B14D18" w:rsidRDefault="00376025" w:rsidP="00B14D18">
                            <w:pPr>
                              <w:spacing w:before="0"/>
                              <w:rPr>
                                <w:rFonts w:ascii="Calibri" w:hAnsi="Calibri" w:cs="Calibri"/>
                                <w:sz w:val="12"/>
                              </w:rPr>
                            </w:pPr>
                            <w:r>
                              <w:rPr>
                                <w:rFonts w:ascii="Calibri" w:hAnsi="Calibri"/>
                                <w:sz w:val="12"/>
                              </w:rPr>
                              <w:t>Energjia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8084A2" id="Text Box 20" o:spid="_x0000_s1045" type="#_x0000_t202" style="position:absolute;left:0;text-align:left;margin-left:138.85pt;margin-top:193pt;width:36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" fillcolor="white [3212]" stroked="f">
                <v:textbox style="mso-fit-shape-to-text:t">
                  <w:txbxContent>
                    <w:p w14:paraId="21C2564E" w14:textId="77777777" w:rsidR="00376025" w:rsidRPr="00B14D18" w:rsidRDefault="00376025" w:rsidP="00B14D18">
                      <w:pPr>
                        <w:spacing w:before="0"/>
                        <w:rPr>
                          <w:rFonts w:ascii="Calibri" w:hAnsi="Calibri" w:cs="Calibri"/>
                          <w:sz w:val="12"/>
                        </w:rPr>
                      </w:pPr>
                      <w:r>
                        <w:rPr>
                          <w:rFonts w:ascii="Calibri" w:hAnsi="Calibri"/>
                          <w:sz w:val="12"/>
                        </w:rPr>
                        <w:t>Energjia</w:t>
                      </w:r>
                    </w:p>
                  </w:txbxContent>
                </v:textbox>
                <w10:wrap anchorx="margin"/>
              </v:shape>
            </w:pict>
          </mc:Fallback>
        </mc:AlternateContent>
      </w:r>
      <w:r>
        <w:rPr>
          <w:rFonts w:asciiTheme="majorHAnsi" w:hAnsiTheme="majorHAnsi"/>
          <w:noProof/>
          <w:lang w:val="en-US"/>
        </w:rPr>
        <mc:AlternateContent>
          <mc:Choice Requires="wps">
            <w:drawing>
              <wp:anchor distT="45720" distB="45720" distL="114300" distR="114300" simplePos="0" relativeHeight="251656192" behindDoc="0" locked="0" layoutInCell="1" allowOverlap="1" wp14:anchorId="4CE3AB76" wp14:editId="1EE3606F">
                <wp:simplePos x="0" y="0"/>
                <wp:positionH relativeFrom="margin">
                  <wp:posOffset>202565</wp:posOffset>
                </wp:positionH>
                <wp:positionV relativeFrom="paragraph">
                  <wp:posOffset>641985</wp:posOffset>
                </wp:positionV>
                <wp:extent cx="2545397" cy="1404620"/>
                <wp:effectExtent l="0" t="9525"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45397" cy="1404620"/>
                        </a:xfrm>
                        <a:prstGeom prst="rect">
                          <a:avLst/>
                        </a:prstGeom>
                        <a:solidFill>
                          <a:schemeClr val="bg1"/>
                        </a:solidFill>
                        <a:ln w="9525">
                          <a:noFill/>
                          <a:miter lim="800000"/>
                          <a:headEnd/>
                          <a:tailEnd/>
                        </a:ln>
                      </wps:spPr>
                      <wps:txbx>
                        <w:txbxContent>
                          <w:p w14:paraId="446D496C" w14:textId="77777777" w:rsidR="00376025" w:rsidRPr="00196968" w:rsidRDefault="00376025" w:rsidP="00B14D18">
                            <w:pPr>
                              <w:spacing w:before="0"/>
                              <w:rPr>
                                <w:rFonts w:ascii="Calibri" w:hAnsi="Calibri" w:cs="Calibri"/>
                                <w:sz w:val="18"/>
                              </w:rPr>
                            </w:pPr>
                            <w:r>
                              <w:rPr>
                                <w:rFonts w:ascii="Calibri" w:hAnsi="Calibri"/>
                                <w:sz w:val="18"/>
                              </w:rPr>
                              <w:t>Shkarkimet dhe përthithjet e GES-ve në kt CO2eq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E3AB76" id="Text Box 19" o:spid="_x0000_s1046" type="#_x0000_t202" style="position:absolute;left:0;text-align:left;margin-left:15.95pt;margin-top:50.55pt;width:200.4pt;height:110.6pt;rotation:-90;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" fillcolor="white [3212]" stroked="f">
                <v:textbox style="mso-fit-shape-to-text:t">
                  <w:txbxContent>
                    <w:p w14:paraId="446D496C" w14:textId="77777777" w:rsidR="00376025" w:rsidRPr="00196968" w:rsidRDefault="00376025" w:rsidP="00B14D18">
                      <w:pPr>
                        <w:spacing w:before="0"/>
                        <w:rPr>
                          <w:rFonts w:ascii="Calibri" w:hAnsi="Calibri" w:cs="Calibri"/>
                          <w:sz w:val="18"/>
                        </w:rPr>
                      </w:pPr>
                      <w:r>
                        <w:rPr>
                          <w:rFonts w:ascii="Calibri" w:hAnsi="Calibri"/>
                          <w:sz w:val="18"/>
                        </w:rPr>
                        <w:t>Shkarkimet dhe përthithjet e GES-ve në kt CO2eq</w:t>
                      </w:r>
                    </w:p>
                  </w:txbxContent>
                </v:textbox>
                <w10:wrap anchorx="margin"/>
              </v:shape>
            </w:pict>
          </mc:Fallback>
        </mc:AlternateContent>
      </w:r>
      <w:r w:rsidR="00B14D18">
        <w:rPr>
          <w:rFonts w:asciiTheme="majorHAnsi" w:hAnsiTheme="majorHAnsi"/>
          <w:noProof/>
          <w:lang w:val="en-US"/>
        </w:rPr>
        <mc:AlternateContent>
          <mc:Choice Requires="wps">
            <w:drawing>
              <wp:anchor distT="45720" distB="45720" distL="114300" distR="114300" simplePos="0" relativeHeight="251671552" behindDoc="0" locked="0" layoutInCell="1" allowOverlap="1" wp14:anchorId="3303FB46" wp14:editId="64E7F13A">
                <wp:simplePos x="0" y="0"/>
                <wp:positionH relativeFrom="margin">
                  <wp:posOffset>3989484</wp:posOffset>
                </wp:positionH>
                <wp:positionV relativeFrom="paragraph">
                  <wp:posOffset>2471917</wp:posOffset>
                </wp:positionV>
                <wp:extent cx="44513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404620"/>
                        </a:xfrm>
                        <a:prstGeom prst="rect">
                          <a:avLst/>
                        </a:prstGeom>
                        <a:solidFill>
                          <a:schemeClr val="bg1"/>
                        </a:solidFill>
                        <a:ln w="9525">
                          <a:noFill/>
                          <a:miter lim="800000"/>
                          <a:headEnd/>
                          <a:tailEnd/>
                        </a:ln>
                      </wps:spPr>
                      <wps:txbx>
                        <w:txbxContent>
                          <w:p w14:paraId="7AA836E1" w14:textId="77777777" w:rsidR="00376025" w:rsidRPr="00B14D18" w:rsidRDefault="00376025" w:rsidP="00B14D18">
                            <w:pPr>
                              <w:spacing w:before="0"/>
                              <w:rPr>
                                <w:rFonts w:ascii="Calibri" w:hAnsi="Calibri" w:cs="Calibri"/>
                                <w:sz w:val="12"/>
                              </w:rPr>
                            </w:pPr>
                            <w:r>
                              <w:rPr>
                                <w:rFonts w:ascii="Calibri" w:hAnsi="Calibri"/>
                                <w:sz w:val="12"/>
                              </w:rPr>
                              <w:t>Mbetjet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03FB46" id="Text Box 23" o:spid="_x0000_s1047" type="#_x0000_t202" style="position:absolute;left:0;text-align:left;margin-left:314.15pt;margin-top:194.65pt;width:35.0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" fillcolor="white [3212]" stroked="f">
                <v:textbox style="mso-fit-shape-to-text:t">
                  <w:txbxContent>
                    <w:p w14:paraId="7AA836E1" w14:textId="77777777" w:rsidR="00376025" w:rsidRPr="00B14D18" w:rsidRDefault="00376025" w:rsidP="00B14D18">
                      <w:pPr>
                        <w:spacing w:before="0"/>
                        <w:rPr>
                          <w:rFonts w:ascii="Calibri" w:hAnsi="Calibri" w:cs="Calibri"/>
                          <w:sz w:val="12"/>
                        </w:rPr>
                      </w:pPr>
                      <w:r>
                        <w:rPr>
                          <w:rFonts w:ascii="Calibri" w:hAnsi="Calibri"/>
                          <w:sz w:val="12"/>
                        </w:rPr>
                        <w:t>Mbetjet</w:t>
                      </w:r>
                    </w:p>
                  </w:txbxContent>
                </v:textbox>
                <w10:wrap anchorx="margin"/>
              </v:shape>
            </w:pict>
          </mc:Fallback>
        </mc:AlternateContent>
      </w:r>
      <w:r w:rsidR="00B14D18">
        <w:rPr>
          <w:rFonts w:asciiTheme="majorHAnsi" w:hAnsiTheme="majorHAnsi"/>
          <w:noProof/>
          <w:lang w:val="en-US"/>
        </w:rPr>
        <mc:AlternateContent>
          <mc:Choice Requires="wps">
            <w:drawing>
              <wp:anchor distT="45720" distB="45720" distL="114300" distR="114300" simplePos="0" relativeHeight="251663360" behindDoc="0" locked="0" layoutInCell="1" allowOverlap="1" wp14:anchorId="00478F73" wp14:editId="7275FFB4">
                <wp:simplePos x="0" y="0"/>
                <wp:positionH relativeFrom="margin">
                  <wp:align>center</wp:align>
                </wp:positionH>
                <wp:positionV relativeFrom="paragraph">
                  <wp:posOffset>2470675</wp:posOffset>
                </wp:positionV>
                <wp:extent cx="548640" cy="1404620"/>
                <wp:effectExtent l="0" t="0" r="381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chemeClr val="bg1"/>
                        </a:solidFill>
                        <a:ln w="9525">
                          <a:noFill/>
                          <a:miter lim="800000"/>
                          <a:headEnd/>
                          <a:tailEnd/>
                        </a:ln>
                      </wps:spPr>
                      <wps:txbx>
                        <w:txbxContent>
                          <w:p w14:paraId="370137E8" w14:textId="77777777" w:rsidR="00376025" w:rsidRPr="00B14D18" w:rsidRDefault="00376025" w:rsidP="00B14D18">
                            <w:pPr>
                              <w:spacing w:before="0"/>
                              <w:rPr>
                                <w:rFonts w:ascii="Calibri" w:hAnsi="Calibri" w:cs="Calibri"/>
                                <w:sz w:val="12"/>
                              </w:rPr>
                            </w:pPr>
                            <w:r>
                              <w:rPr>
                                <w:rFonts w:ascii="Calibri" w:hAnsi="Calibri"/>
                                <w:sz w:val="12"/>
                              </w:rPr>
                              <w:t>Bujqësia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78F73" id="Text Box 21" o:spid="_x0000_s1048" type="#_x0000_t202" style="position:absolute;left:0;text-align:left;margin-left:0;margin-top:194.55pt;width:43.2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" fillcolor="white [3212]" stroked="f">
                <v:textbox style="mso-fit-shape-to-text:t">
                  <w:txbxContent>
                    <w:p w14:paraId="370137E8" w14:textId="77777777" w:rsidR="00376025" w:rsidRPr="00B14D18" w:rsidRDefault="00376025" w:rsidP="00B14D18">
                      <w:pPr>
                        <w:spacing w:before="0"/>
                        <w:rPr>
                          <w:rFonts w:ascii="Calibri" w:hAnsi="Calibri" w:cs="Calibri"/>
                          <w:sz w:val="12"/>
                        </w:rPr>
                      </w:pPr>
                      <w:r>
                        <w:rPr>
                          <w:rFonts w:ascii="Calibri" w:hAnsi="Calibri"/>
                          <w:sz w:val="12"/>
                        </w:rPr>
                        <w:t>Bujqësia</w:t>
                      </w:r>
                    </w:p>
                  </w:txbxContent>
                </v:textbox>
                <w10:wrap anchorx="margin"/>
              </v:shape>
            </w:pict>
          </mc:Fallback>
        </mc:AlternateContent>
      </w:r>
      <w:r w:rsidR="00B14D18">
        <w:rPr>
          <w:rFonts w:asciiTheme="majorHAnsi" w:hAnsiTheme="majorHAnsi"/>
          <w:noProof/>
          <w:lang w:val="en-US"/>
        </w:rPr>
        <mc:AlternateContent>
          <mc:Choice Requires="wps">
            <w:drawing>
              <wp:anchor distT="45720" distB="45720" distL="114300" distR="114300" simplePos="0" relativeHeight="251652096" behindDoc="0" locked="0" layoutInCell="1" allowOverlap="1" wp14:anchorId="37681078" wp14:editId="07F84CD2">
                <wp:simplePos x="0" y="0"/>
                <wp:positionH relativeFrom="margin">
                  <wp:posOffset>2272444</wp:posOffset>
                </wp:positionH>
                <wp:positionV relativeFrom="paragraph">
                  <wp:posOffset>2471310</wp:posOffset>
                </wp:positionV>
                <wp:extent cx="341630" cy="1404620"/>
                <wp:effectExtent l="0" t="0" r="127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404620"/>
                        </a:xfrm>
                        <a:prstGeom prst="rect">
                          <a:avLst/>
                        </a:prstGeom>
                        <a:solidFill>
                          <a:schemeClr val="bg1"/>
                        </a:solidFill>
                        <a:ln w="9525">
                          <a:noFill/>
                          <a:miter lim="800000"/>
                          <a:headEnd/>
                          <a:tailEnd/>
                        </a:ln>
                      </wps:spPr>
                      <wps:txbx>
                        <w:txbxContent>
                          <w:p w14:paraId="512BFF2B" w14:textId="77777777" w:rsidR="00376025" w:rsidRPr="00B14D18" w:rsidRDefault="00376025" w:rsidP="00B14D18">
                            <w:pPr>
                              <w:spacing w:before="0"/>
                              <w:rPr>
                                <w:rFonts w:ascii="Calibri" w:hAnsi="Calibri" w:cs="Calibri"/>
                                <w:sz w:val="12"/>
                              </w:rPr>
                            </w:pPr>
                            <w:r>
                              <w:rPr>
                                <w:rFonts w:ascii="Calibri" w:hAnsi="Calibri"/>
                                <w:sz w:val="12"/>
                              </w:rPr>
                              <w:t>PIPP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81078" id="Text Box 18" o:spid="_x0000_s1049" type="#_x0000_t202" style="position:absolute;left:0;text-align:left;margin-left:178.95pt;margin-top:194.6pt;width:26.9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" fillcolor="white [3212]" stroked="f">
                <v:textbox style="mso-fit-shape-to-text:t">
                  <w:txbxContent>
                    <w:p w14:paraId="512BFF2B" w14:textId="77777777" w:rsidR="00376025" w:rsidRPr="00B14D18" w:rsidRDefault="00376025" w:rsidP="00B14D18">
                      <w:pPr>
                        <w:spacing w:before="0"/>
                        <w:rPr>
                          <w:rFonts w:ascii="Calibri" w:hAnsi="Calibri" w:cs="Calibri"/>
                          <w:sz w:val="12"/>
                        </w:rPr>
                      </w:pPr>
                      <w:r>
                        <w:rPr>
                          <w:rFonts w:ascii="Calibri" w:hAnsi="Calibri"/>
                          <w:sz w:val="12"/>
                        </w:rPr>
                        <w:t>PIPP</w:t>
                      </w:r>
                    </w:p>
                  </w:txbxContent>
                </v:textbox>
                <w10:wrap anchorx="margin"/>
              </v:shape>
            </w:pict>
          </mc:Fallback>
        </mc:AlternateContent>
      </w:r>
      <w:r w:rsidR="00B14D18">
        <w:rPr>
          <w:noProof/>
          <w:lang w:val="en-US"/>
        </w:rPr>
        <w:drawing>
          <wp:inline distT="0" distB="0" distL="0" distR="0" wp14:anchorId="34C6425F" wp14:editId="0D938949">
            <wp:extent cx="4574540" cy="2740660"/>
            <wp:effectExtent l="19050" t="19050" r="16510" b="21590"/>
            <wp:docPr id="7062594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4540" cy="2740660"/>
                    </a:xfrm>
                    <a:prstGeom prst="rect">
                      <a:avLst/>
                    </a:prstGeom>
                    <a:noFill/>
                    <a:ln w="3175">
                      <a:solidFill>
                        <a:schemeClr val="tx1"/>
                      </a:solidFill>
                    </a:ln>
                  </pic:spPr>
                </pic:pic>
              </a:graphicData>
            </a:graphic>
          </wp:inline>
        </w:drawing>
      </w:r>
    </w:p>
    <w:p w14:paraId="479A8DA6" w14:textId="0F38E390" w:rsidR="00DD11E1" w:rsidRDefault="00C76029" w:rsidP="00DD11E1">
      <w:pPr>
        <w:pStyle w:val="Caption"/>
      </w:pPr>
      <w:bookmarkStart w:id="24" w:name="_Ref204964770"/>
      <w:bookmarkStart w:id="25" w:name="_Toc216778899"/>
      <w:r>
        <w:t xml:space="preserve">Figura </w:t>
      </w:r>
      <w:r w:rsidR="00387652" w:rsidRPr="00420F06">
        <w:rPr>
          <w:rFonts w:cstheme="majorHAnsi"/>
        </w:rPr>
        <w:fldChar w:fldCharType="begin"/>
      </w:r>
      <w:r w:rsidRPr="00420F06">
        <w:rPr>
          <w:rFonts w:cstheme="majorHAnsi"/>
        </w:rPr>
        <w:instrText xml:space="preserve"> SEQ Figure \* ARABIC </w:instrText>
      </w:r>
      <w:r w:rsidR="00387652" w:rsidRPr="00420F06">
        <w:rPr>
          <w:rFonts w:cstheme="majorHAnsi"/>
        </w:rPr>
        <w:fldChar w:fldCharType="separate"/>
      </w:r>
      <w:r w:rsidR="00D0533E">
        <w:rPr>
          <w:rFonts w:cstheme="majorHAnsi"/>
          <w:noProof/>
        </w:rPr>
        <w:t>4</w:t>
      </w:r>
      <w:r w:rsidR="00387652" w:rsidRPr="00420F06">
        <w:rPr>
          <w:rFonts w:cstheme="majorHAnsi"/>
        </w:rPr>
        <w:fldChar w:fldCharType="end"/>
      </w:r>
      <w:bookmarkEnd w:id="24"/>
      <w:r>
        <w:t>: Projeksioni i shkarkimeve të GES-ve sipas skenarit WAM (burimi: PKEK 2025)</w:t>
      </w:r>
      <w:bookmarkEnd w:id="25"/>
    </w:p>
    <w:p w14:paraId="5D72BCAA" w14:textId="77777777" w:rsidR="00DD11E1" w:rsidRPr="00DD11E1" w:rsidRDefault="00DD11E1" w:rsidP="00DD11E1"/>
    <w:p w14:paraId="34C63DC3" w14:textId="45C6C69F" w:rsidR="00213150" w:rsidRDefault="00213150" w:rsidP="00213150">
      <w:pPr>
        <w:pStyle w:val="Heading2"/>
        <w:spacing w:before="120"/>
        <w:rPr>
          <w:rFonts w:asciiTheme="majorHAnsi" w:hAnsiTheme="majorHAnsi" w:cstheme="majorHAnsi"/>
        </w:rPr>
      </w:pPr>
      <w:bookmarkStart w:id="26" w:name="_Toc216778860"/>
      <w:r>
        <w:rPr>
          <w:rFonts w:asciiTheme="majorHAnsi" w:hAnsiTheme="majorHAnsi"/>
        </w:rPr>
        <w:lastRenderedPageBreak/>
        <w:t>4.4 Veprimet për zbutjen</w:t>
      </w:r>
      <w:bookmarkEnd w:id="26"/>
    </w:p>
    <w:p w14:paraId="34C63DC4" w14:textId="4458840A" w:rsidR="00794F59" w:rsidRPr="00794F59" w:rsidRDefault="00794F59" w:rsidP="00794F59">
      <w:pPr>
        <w:pStyle w:val="BodyText"/>
        <w:jc w:val="both"/>
        <w:rPr>
          <w:rFonts w:asciiTheme="majorHAnsi" w:hAnsiTheme="majorHAnsi" w:cstheme="majorHAnsi"/>
        </w:rPr>
      </w:pPr>
      <w:r>
        <w:rPr>
          <w:rFonts w:asciiTheme="majorHAnsi" w:hAnsiTheme="majorHAnsi"/>
        </w:rPr>
        <w:t>Përpjekjet për zbutjen në Shqipëri nxiten kryesisht nga karakteristikat operacionale të impianteve të energjisë së rinovueshme, nga reduktimi i përdorimit të lëndëve djegëse fosile në sektorin e transportit dhe atë industrial përmes zëvendësimit të lëndëve djegëse, si dhe nga zbatimi i masave për efiçencën e energjisë që fokusohen te ndërtesat publike dhe private. Për më tepër, menaxhimi i qëndrueshëm i pyjeve luan një rol të rëndësishëm në reduktimin e shkarkimeve.</w:t>
      </w:r>
    </w:p>
    <w:p w14:paraId="34C63DC5" w14:textId="77777777" w:rsidR="00794F59" w:rsidRDefault="00794F59" w:rsidP="00794F59">
      <w:pPr>
        <w:pStyle w:val="BodyText"/>
        <w:jc w:val="both"/>
        <w:rPr>
          <w:rFonts w:asciiTheme="majorHAnsi" w:hAnsiTheme="majorHAnsi" w:cstheme="majorHAnsi"/>
        </w:rPr>
      </w:pPr>
      <w:r>
        <w:rPr>
          <w:rFonts w:asciiTheme="majorHAnsi" w:hAnsiTheme="majorHAnsi"/>
        </w:rPr>
        <w:t>Politikat strategjike sipas dimensionit të dekarbonizimit fokusohen në arritjen e objektivave të përditësuara kombëtare që synojnë reduktimin e shkarkimeve të gazeve me efekt serrë (GES) dhe rritjen e përqindjes së energjisë së rinovueshme në raport me konsumin final bruto të energjisë. Shqipëria po i jep prioritet zgjerimit të portofolit të saj të energjisë së rinovueshme. Duke qenë se mbështetet fuqimisht në energjinë nga burimet hidrike, vendi po punon në mënyrë aktive për të diversifikuar miksin e burimeve të energjisë duke zhvilluar projekte për energjinë e erës (eolike), diellore dhe të biomasës.</w:t>
      </w:r>
    </w:p>
    <w:p w14:paraId="70308454" w14:textId="52C3D658" w:rsidR="00AB2C1B" w:rsidRDefault="00AB2C1B" w:rsidP="00AB2C1B">
      <w:pPr>
        <w:pStyle w:val="BodyText"/>
        <w:jc w:val="both"/>
        <w:rPr>
          <w:rFonts w:asciiTheme="majorHAnsi" w:hAnsiTheme="majorHAnsi" w:cstheme="majorHAnsi"/>
        </w:rPr>
      </w:pPr>
      <w:r>
        <w:rPr>
          <w:rFonts w:asciiTheme="majorHAnsi" w:hAnsiTheme="majorHAnsi"/>
        </w:rPr>
        <w:t>SKZHIE III adreson gjithashtu zbutjen e ndryshimeve klimatike dhe kalimin në një ekonomi me shkarkime të ulëta të karbonit. Siç u konstatua, strategjia njeh kontributin e ulët të Shqipërisë në shkarkimet globale të GES-ve, por angazhohet për të kufizuar më tej shkarkimet në përputhje me përpjekjet globale. Strategjia i referohet KKP-së së rishikuar të Shqipërisë, duke marrë parasysh periudhën kronologjike midis KKP-së dhe zbatimit fillestar të SKZHIE-së në vitin 2023. Megjithatë, strategjia pasqyron angazhimin ndërkombëtar të vendit sipas Marrëveshjes së Parisit. Dokumenti thekson se plotësimi i këtyre objektivave do të kërkojë integrimin e plotë të veprimeve për zbutjen në të gjithë sektorët. Në seksionin e ndryshimeve klimatike të SKZHIE III është renditur shprehimisht si objektiv politikash “</w:t>
      </w:r>
      <w:r>
        <w:rPr>
          <w:rFonts w:asciiTheme="majorHAnsi" w:hAnsiTheme="majorHAnsi"/>
          <w:i/>
          <w:iCs/>
        </w:rPr>
        <w:t>ndërmarrja e një sërë masash në nivel kombëtar për uljen e emetimeve</w:t>
      </w:r>
      <w:r>
        <w:rPr>
          <w:rFonts w:asciiTheme="majorHAnsi" w:hAnsiTheme="majorHAnsi"/>
        </w:rPr>
        <w:t xml:space="preserve"> me 20,9% (në bazë të KKP-së së rishikuar) deri në vitin 2030”. Më pas, strategjia nënvizon masat zbutëse prioritare, si p.sh. integrimi i masave për zbutjen e GES-ve në buxhetet publike dhe në të gjitha dokumentet strategjike në nivel kombëtar dhe vendor (përkatësisht brenda viteve 2025 dhe 2030). Një tjetër prioritet është garantimi i miratimit të plotë të legjislacionit parësor dhe dytësor në fushën e klimës (harmonizimi me legjislacionin e BE-së për klimën) dhe integrimi i çështjeve klimatike në të gjithë sektorët që preken nga ndryshimet klimatike brenda vitit 2027.</w:t>
      </w:r>
    </w:p>
    <w:p w14:paraId="25D5CDC5" w14:textId="77777777" w:rsidR="00AB2C1B" w:rsidRPr="00376025" w:rsidRDefault="00AB2C1B" w:rsidP="00794F59">
      <w:pPr>
        <w:pStyle w:val="BodyText"/>
        <w:jc w:val="both"/>
        <w:rPr>
          <w:rFonts w:asciiTheme="majorHAnsi" w:hAnsiTheme="majorHAnsi" w:cstheme="majorHAnsi"/>
        </w:rPr>
      </w:pPr>
    </w:p>
    <w:p w14:paraId="34C63DC6" w14:textId="05251AB0" w:rsidR="00794F59" w:rsidRPr="00794F59" w:rsidRDefault="00794F59" w:rsidP="00794F59">
      <w:pPr>
        <w:pStyle w:val="BodyText"/>
        <w:jc w:val="both"/>
        <w:rPr>
          <w:rFonts w:asciiTheme="majorHAnsi" w:hAnsiTheme="majorHAnsi" w:cstheme="majorHAnsi"/>
        </w:rPr>
      </w:pPr>
      <w:r>
        <w:rPr>
          <w:rFonts w:asciiTheme="majorHAnsi" w:hAnsiTheme="majorHAnsi"/>
        </w:rPr>
        <w:t xml:space="preserve">Për sa i përket energjisë së rinovueshme, objektivat për vitin 2030 paraqiten në </w:t>
      </w:r>
      <w:r w:rsidR="00387652">
        <w:rPr>
          <w:rFonts w:asciiTheme="majorHAnsi" w:hAnsiTheme="majorHAnsi" w:cstheme="majorHAnsi"/>
        </w:rPr>
        <w:fldChar w:fldCharType="begin"/>
      </w:r>
      <w:r>
        <w:rPr>
          <w:rFonts w:asciiTheme="majorHAnsi" w:hAnsiTheme="majorHAnsi" w:cstheme="majorHAnsi"/>
        </w:rPr>
        <w:instrText xml:space="preserve"> REF _Ref204958679 \h </w:instrText>
      </w:r>
      <w:r w:rsidR="00387652">
        <w:rPr>
          <w:rFonts w:asciiTheme="majorHAnsi" w:hAnsiTheme="majorHAnsi" w:cstheme="majorHAnsi"/>
        </w:rPr>
      </w:r>
      <w:r w:rsidR="00387652">
        <w:rPr>
          <w:rFonts w:asciiTheme="majorHAnsi" w:hAnsiTheme="majorHAnsi" w:cstheme="majorHAnsi"/>
        </w:rPr>
        <w:fldChar w:fldCharType="separate"/>
      </w:r>
      <w:r w:rsidR="00D0533E">
        <w:t xml:space="preserve">Tabela </w:t>
      </w:r>
      <w:r w:rsidR="00D0533E">
        <w:rPr>
          <w:rFonts w:cstheme="majorHAnsi"/>
          <w:noProof/>
        </w:rPr>
        <w:t>2</w:t>
      </w:r>
      <w:r w:rsidR="00387652">
        <w:rPr>
          <w:rFonts w:asciiTheme="majorHAnsi" w:hAnsiTheme="majorHAnsi" w:cstheme="majorHAnsi"/>
        </w:rPr>
        <w:fldChar w:fldCharType="end"/>
      </w:r>
      <w:r>
        <w:rPr>
          <w:rFonts w:asciiTheme="majorHAnsi" w:hAnsiTheme="majorHAnsi"/>
        </w:rPr>
        <w:t xml:space="preserve"> (burimi: PKEK 2025). Projeksionet për vitin 2035 bazohen në skenarin "me masa shtesë" (WAM) të parashikuar në PKEK 2025, i cili është zgjedhur si bazë për dokumentin aktual të Kontributit Kombëtar të Përcaktuar (KKP).</w:t>
      </w:r>
    </w:p>
    <w:p w14:paraId="34C63DC7" w14:textId="77777777" w:rsidR="00794F59" w:rsidRDefault="00794F59" w:rsidP="0076167F">
      <w:pPr>
        <w:pStyle w:val="Caption"/>
        <w:rPr>
          <w:rFonts w:cstheme="majorHAnsi"/>
        </w:rPr>
      </w:pPr>
    </w:p>
    <w:p w14:paraId="75307731" w14:textId="77777777" w:rsidR="007651B1" w:rsidRDefault="007651B1" w:rsidP="007651B1"/>
    <w:p w14:paraId="0B15D75B" w14:textId="77777777" w:rsidR="007651B1" w:rsidRDefault="007651B1" w:rsidP="007651B1"/>
    <w:p w14:paraId="36CF867D" w14:textId="77777777" w:rsidR="007651B1" w:rsidRDefault="007651B1" w:rsidP="007651B1"/>
    <w:p w14:paraId="3523C244" w14:textId="77777777" w:rsidR="007651B1" w:rsidRPr="007651B1" w:rsidRDefault="007651B1" w:rsidP="007651B1"/>
    <w:p w14:paraId="34C63DC8" w14:textId="39CF32F7" w:rsidR="0076167F" w:rsidRPr="00420F06" w:rsidRDefault="0076167F" w:rsidP="00DD11E1">
      <w:pPr>
        <w:pStyle w:val="Caption"/>
        <w:jc w:val="left"/>
        <w:rPr>
          <w:rFonts w:cstheme="majorHAnsi"/>
        </w:rPr>
      </w:pPr>
      <w:bookmarkStart w:id="27" w:name="_Ref204958679"/>
      <w:bookmarkStart w:id="28" w:name="_Toc216778885"/>
      <w:r>
        <w:lastRenderedPageBreak/>
        <w:t xml:space="preserve">Tabela </w:t>
      </w:r>
      <w:r w:rsidR="00387652" w:rsidRPr="00420F06">
        <w:rPr>
          <w:rFonts w:cstheme="majorHAnsi"/>
        </w:rPr>
        <w:fldChar w:fldCharType="begin"/>
      </w:r>
      <w:r w:rsidRPr="00420F06">
        <w:rPr>
          <w:rFonts w:cstheme="majorHAnsi"/>
        </w:rPr>
        <w:instrText xml:space="preserve"> SEQ Table \* ARABIC </w:instrText>
      </w:r>
      <w:r w:rsidR="00387652" w:rsidRPr="00420F06">
        <w:rPr>
          <w:rFonts w:cstheme="majorHAnsi"/>
        </w:rPr>
        <w:fldChar w:fldCharType="separate"/>
      </w:r>
      <w:r w:rsidR="00D0533E">
        <w:rPr>
          <w:rFonts w:cstheme="majorHAnsi"/>
          <w:noProof/>
        </w:rPr>
        <w:t>2</w:t>
      </w:r>
      <w:r w:rsidR="00387652" w:rsidRPr="00420F06">
        <w:rPr>
          <w:rFonts w:cstheme="majorHAnsi"/>
        </w:rPr>
        <w:fldChar w:fldCharType="end"/>
      </w:r>
      <w:bookmarkEnd w:id="27"/>
      <w:r>
        <w:t>: Objektivat lidhur me përqindjes e energjisë nga burimet e energjisë së rinovueshme (BRE) në raport me konsumin final bruto të energjisë.</w:t>
      </w:r>
      <w:bookmarkEnd w:id="28"/>
    </w:p>
    <w:tbl>
      <w:tblPr>
        <w:tblStyle w:val="TableGrid"/>
        <w:tblW w:w="0" w:type="auto"/>
        <w:tblLook w:val="04A0" w:firstRow="1" w:lastRow="0" w:firstColumn="1" w:lastColumn="0" w:noHBand="0" w:noVBand="1"/>
      </w:tblPr>
      <w:tblGrid>
        <w:gridCol w:w="3116"/>
        <w:gridCol w:w="3117"/>
        <w:gridCol w:w="3117"/>
      </w:tblGrid>
      <w:tr w:rsidR="00CC247B" w:rsidRPr="003155C3" w14:paraId="34C63DCC" w14:textId="77777777">
        <w:tc>
          <w:tcPr>
            <w:tcW w:w="3116" w:type="dxa"/>
          </w:tcPr>
          <w:p w14:paraId="34C63DC9" w14:textId="77777777" w:rsidR="00CC247B" w:rsidRPr="003155C3" w:rsidRDefault="006A3F59" w:rsidP="00213150">
            <w:pPr>
              <w:pStyle w:val="BodyText"/>
              <w:jc w:val="both"/>
              <w:rPr>
                <w:rFonts w:asciiTheme="majorHAnsi" w:hAnsiTheme="majorHAnsi" w:cstheme="majorHAnsi"/>
                <w:b/>
                <w:bCs/>
                <w:sz w:val="20"/>
                <w:szCs w:val="20"/>
              </w:rPr>
            </w:pPr>
            <w:r>
              <w:rPr>
                <w:rFonts w:asciiTheme="majorHAnsi" w:hAnsiTheme="majorHAnsi"/>
                <w:b/>
                <w:bCs/>
                <w:sz w:val="20"/>
                <w:szCs w:val="20"/>
              </w:rPr>
              <w:t>Pjesa e BRE-ve në %</w:t>
            </w:r>
            <w:r w:rsidR="007F6A59">
              <w:rPr>
                <w:rStyle w:val="FootnoteReference"/>
                <w:rFonts w:asciiTheme="majorHAnsi" w:hAnsiTheme="majorHAnsi" w:cstheme="majorHAnsi"/>
                <w:b/>
                <w:bCs/>
                <w:sz w:val="20"/>
                <w:szCs w:val="20"/>
                <w:lang w:val="en-US"/>
              </w:rPr>
              <w:footnoteReference w:id="6"/>
            </w:r>
          </w:p>
        </w:tc>
        <w:tc>
          <w:tcPr>
            <w:tcW w:w="3117" w:type="dxa"/>
          </w:tcPr>
          <w:p w14:paraId="34C63DCA" w14:textId="5C78F61B" w:rsidR="00CC247B" w:rsidRPr="003155C3" w:rsidRDefault="00C92EBC" w:rsidP="00CC247B">
            <w:pPr>
              <w:pStyle w:val="BodyText"/>
              <w:jc w:val="center"/>
              <w:rPr>
                <w:rFonts w:asciiTheme="majorHAnsi" w:hAnsiTheme="majorHAnsi" w:cstheme="majorHAnsi"/>
                <w:b/>
                <w:bCs/>
                <w:sz w:val="20"/>
                <w:szCs w:val="20"/>
              </w:rPr>
            </w:pPr>
            <w:r>
              <w:rPr>
                <w:rFonts w:asciiTheme="majorHAnsi" w:hAnsiTheme="majorHAnsi"/>
                <w:b/>
                <w:bCs/>
                <w:sz w:val="20"/>
                <w:szCs w:val="20"/>
              </w:rPr>
              <w:t>Viti 2030</w:t>
            </w:r>
          </w:p>
        </w:tc>
        <w:tc>
          <w:tcPr>
            <w:tcW w:w="3117" w:type="dxa"/>
          </w:tcPr>
          <w:p w14:paraId="34C63DCB" w14:textId="759F86F9" w:rsidR="00CC247B" w:rsidRPr="003155C3" w:rsidRDefault="00C92EBC" w:rsidP="00CC247B">
            <w:pPr>
              <w:pStyle w:val="BodyText"/>
              <w:jc w:val="center"/>
              <w:rPr>
                <w:rFonts w:asciiTheme="majorHAnsi" w:hAnsiTheme="majorHAnsi" w:cstheme="majorHAnsi"/>
                <w:b/>
                <w:bCs/>
                <w:sz w:val="20"/>
                <w:szCs w:val="20"/>
              </w:rPr>
            </w:pPr>
            <w:r>
              <w:rPr>
                <w:rFonts w:asciiTheme="majorHAnsi" w:hAnsiTheme="majorHAnsi"/>
                <w:b/>
                <w:bCs/>
                <w:sz w:val="20"/>
                <w:szCs w:val="20"/>
              </w:rPr>
              <w:t>Viti 2035</w:t>
            </w:r>
          </w:p>
        </w:tc>
      </w:tr>
      <w:tr w:rsidR="00CC247B" w:rsidRPr="003155C3" w14:paraId="34C63DD0" w14:textId="77777777" w:rsidTr="00CE45B5">
        <w:tc>
          <w:tcPr>
            <w:tcW w:w="3116" w:type="dxa"/>
          </w:tcPr>
          <w:p w14:paraId="34C63DCD" w14:textId="77777777" w:rsidR="00CC247B" w:rsidRPr="003155C3" w:rsidRDefault="00CC247B" w:rsidP="00CC247B">
            <w:pPr>
              <w:pStyle w:val="BodyText"/>
              <w:jc w:val="both"/>
              <w:rPr>
                <w:rFonts w:asciiTheme="majorHAnsi" w:hAnsiTheme="majorHAnsi" w:cstheme="majorHAnsi"/>
                <w:sz w:val="20"/>
                <w:szCs w:val="20"/>
              </w:rPr>
            </w:pPr>
            <w:r>
              <w:rPr>
                <w:rFonts w:asciiTheme="majorHAnsi" w:hAnsiTheme="majorHAnsi"/>
                <w:sz w:val="20"/>
                <w:szCs w:val="20"/>
              </w:rPr>
              <w:t>BRE-të në sektorin e transportit</w:t>
            </w:r>
          </w:p>
        </w:tc>
        <w:tc>
          <w:tcPr>
            <w:tcW w:w="3117" w:type="dxa"/>
            <w:vAlign w:val="bottom"/>
          </w:tcPr>
          <w:p w14:paraId="34C63DCE" w14:textId="77777777" w:rsidR="00CC247B" w:rsidRPr="003155C3" w:rsidRDefault="00CC247B" w:rsidP="00CC247B">
            <w:pPr>
              <w:pStyle w:val="BodyText"/>
              <w:jc w:val="center"/>
              <w:rPr>
                <w:rFonts w:asciiTheme="majorHAnsi" w:hAnsiTheme="majorHAnsi" w:cstheme="majorHAnsi"/>
                <w:sz w:val="20"/>
                <w:szCs w:val="20"/>
              </w:rPr>
            </w:pPr>
            <w:r>
              <w:rPr>
                <w:rFonts w:asciiTheme="majorHAnsi" w:hAnsiTheme="majorHAnsi"/>
                <w:color w:val="000000"/>
                <w:sz w:val="20"/>
                <w:szCs w:val="20"/>
              </w:rPr>
              <w:t>34,8</w:t>
            </w:r>
          </w:p>
        </w:tc>
        <w:tc>
          <w:tcPr>
            <w:tcW w:w="3117" w:type="dxa"/>
            <w:vAlign w:val="bottom"/>
          </w:tcPr>
          <w:p w14:paraId="34C63DCF" w14:textId="77777777" w:rsidR="00CC247B" w:rsidRPr="003155C3" w:rsidRDefault="00CC247B" w:rsidP="00CC247B">
            <w:pPr>
              <w:pStyle w:val="BodyText"/>
              <w:jc w:val="center"/>
              <w:rPr>
                <w:rFonts w:asciiTheme="majorHAnsi" w:hAnsiTheme="majorHAnsi" w:cstheme="majorHAnsi"/>
                <w:sz w:val="20"/>
                <w:szCs w:val="20"/>
              </w:rPr>
            </w:pPr>
            <w:r>
              <w:rPr>
                <w:rFonts w:asciiTheme="majorHAnsi" w:hAnsiTheme="majorHAnsi"/>
                <w:color w:val="000000"/>
                <w:sz w:val="20"/>
                <w:szCs w:val="20"/>
              </w:rPr>
              <w:t>68,2</w:t>
            </w:r>
          </w:p>
        </w:tc>
      </w:tr>
      <w:tr w:rsidR="00CC247B" w:rsidRPr="003155C3" w14:paraId="34C63DD4" w14:textId="77777777" w:rsidTr="00CE45B5">
        <w:tc>
          <w:tcPr>
            <w:tcW w:w="3116" w:type="dxa"/>
          </w:tcPr>
          <w:p w14:paraId="34C63DD1" w14:textId="77777777" w:rsidR="00CC247B" w:rsidRPr="003155C3" w:rsidRDefault="00CC247B" w:rsidP="00CC247B">
            <w:pPr>
              <w:pStyle w:val="BodyText"/>
              <w:jc w:val="both"/>
              <w:rPr>
                <w:rFonts w:asciiTheme="majorHAnsi" w:hAnsiTheme="majorHAnsi" w:cstheme="majorHAnsi"/>
                <w:sz w:val="20"/>
                <w:szCs w:val="20"/>
              </w:rPr>
            </w:pPr>
            <w:r>
              <w:rPr>
                <w:rFonts w:asciiTheme="majorHAnsi" w:hAnsiTheme="majorHAnsi"/>
                <w:sz w:val="20"/>
                <w:szCs w:val="20"/>
              </w:rPr>
              <w:t>BRE-të në sektorin e energjisë elektrike</w:t>
            </w:r>
          </w:p>
        </w:tc>
        <w:tc>
          <w:tcPr>
            <w:tcW w:w="3117" w:type="dxa"/>
            <w:vAlign w:val="bottom"/>
          </w:tcPr>
          <w:p w14:paraId="34C63DD2" w14:textId="77777777" w:rsidR="00CC247B" w:rsidRPr="003155C3" w:rsidRDefault="00CC247B" w:rsidP="00CC247B">
            <w:pPr>
              <w:pStyle w:val="BodyText"/>
              <w:jc w:val="center"/>
              <w:rPr>
                <w:rFonts w:asciiTheme="majorHAnsi" w:hAnsiTheme="majorHAnsi" w:cstheme="majorHAnsi"/>
                <w:sz w:val="20"/>
                <w:szCs w:val="20"/>
              </w:rPr>
            </w:pPr>
            <w:r>
              <w:rPr>
                <w:rFonts w:asciiTheme="majorHAnsi" w:hAnsiTheme="majorHAnsi"/>
                <w:color w:val="000000"/>
                <w:sz w:val="20"/>
                <w:szCs w:val="20"/>
              </w:rPr>
              <w:t>145,8</w:t>
            </w:r>
          </w:p>
        </w:tc>
        <w:tc>
          <w:tcPr>
            <w:tcW w:w="3117" w:type="dxa"/>
            <w:vAlign w:val="bottom"/>
          </w:tcPr>
          <w:p w14:paraId="34C63DD3" w14:textId="77777777" w:rsidR="00CC247B" w:rsidRPr="003155C3" w:rsidRDefault="00CC247B" w:rsidP="00CC247B">
            <w:pPr>
              <w:pStyle w:val="BodyText"/>
              <w:jc w:val="center"/>
              <w:rPr>
                <w:rFonts w:asciiTheme="majorHAnsi" w:hAnsiTheme="majorHAnsi" w:cstheme="majorHAnsi"/>
                <w:sz w:val="20"/>
                <w:szCs w:val="20"/>
              </w:rPr>
            </w:pPr>
            <w:r>
              <w:rPr>
                <w:rFonts w:asciiTheme="majorHAnsi" w:hAnsiTheme="majorHAnsi"/>
                <w:color w:val="000000"/>
                <w:sz w:val="20"/>
                <w:szCs w:val="20"/>
              </w:rPr>
              <w:t>147,3</w:t>
            </w:r>
          </w:p>
        </w:tc>
      </w:tr>
      <w:tr w:rsidR="00CC247B" w:rsidRPr="003155C3" w14:paraId="34C63DD8" w14:textId="77777777" w:rsidTr="00CE45B5">
        <w:tc>
          <w:tcPr>
            <w:tcW w:w="3116" w:type="dxa"/>
          </w:tcPr>
          <w:p w14:paraId="34C63DD5" w14:textId="77777777" w:rsidR="00CC247B" w:rsidRPr="003155C3" w:rsidRDefault="00CC247B" w:rsidP="00CC247B">
            <w:pPr>
              <w:pStyle w:val="BodyText"/>
              <w:jc w:val="both"/>
              <w:rPr>
                <w:rFonts w:asciiTheme="majorHAnsi" w:hAnsiTheme="majorHAnsi" w:cstheme="majorHAnsi"/>
                <w:sz w:val="20"/>
                <w:szCs w:val="20"/>
              </w:rPr>
            </w:pPr>
            <w:r>
              <w:rPr>
                <w:rFonts w:asciiTheme="majorHAnsi" w:hAnsiTheme="majorHAnsi"/>
                <w:sz w:val="20"/>
                <w:szCs w:val="20"/>
              </w:rPr>
              <w:t>BRE-të në sektorin e ngrohjes dhe ftohjes</w:t>
            </w:r>
          </w:p>
        </w:tc>
        <w:tc>
          <w:tcPr>
            <w:tcW w:w="3117" w:type="dxa"/>
            <w:vAlign w:val="bottom"/>
          </w:tcPr>
          <w:p w14:paraId="34C63DD6" w14:textId="77777777" w:rsidR="00CC247B" w:rsidRPr="003155C3" w:rsidRDefault="00CC247B" w:rsidP="00CC247B">
            <w:pPr>
              <w:pStyle w:val="BodyText"/>
              <w:jc w:val="center"/>
              <w:rPr>
                <w:rFonts w:asciiTheme="majorHAnsi" w:hAnsiTheme="majorHAnsi" w:cstheme="majorHAnsi"/>
                <w:sz w:val="20"/>
                <w:szCs w:val="20"/>
              </w:rPr>
            </w:pPr>
            <w:r>
              <w:rPr>
                <w:rFonts w:asciiTheme="majorHAnsi" w:hAnsiTheme="majorHAnsi"/>
                <w:color w:val="000000"/>
                <w:sz w:val="20"/>
                <w:szCs w:val="20"/>
              </w:rPr>
              <w:t>22,6</w:t>
            </w:r>
          </w:p>
        </w:tc>
        <w:tc>
          <w:tcPr>
            <w:tcW w:w="3117" w:type="dxa"/>
            <w:vAlign w:val="bottom"/>
          </w:tcPr>
          <w:p w14:paraId="34C63DD7" w14:textId="77777777" w:rsidR="00CC247B" w:rsidRPr="003155C3" w:rsidRDefault="00CC247B" w:rsidP="00CC247B">
            <w:pPr>
              <w:pStyle w:val="BodyText"/>
              <w:jc w:val="center"/>
              <w:rPr>
                <w:rFonts w:asciiTheme="majorHAnsi" w:hAnsiTheme="majorHAnsi" w:cstheme="majorHAnsi"/>
                <w:sz w:val="20"/>
                <w:szCs w:val="20"/>
              </w:rPr>
            </w:pPr>
            <w:r>
              <w:rPr>
                <w:rFonts w:asciiTheme="majorHAnsi" w:hAnsiTheme="majorHAnsi"/>
                <w:color w:val="000000"/>
                <w:sz w:val="20"/>
                <w:szCs w:val="20"/>
              </w:rPr>
              <w:t>28,6</w:t>
            </w:r>
          </w:p>
        </w:tc>
      </w:tr>
      <w:tr w:rsidR="00CC247B" w:rsidRPr="003155C3" w14:paraId="34C63DDC" w14:textId="77777777" w:rsidTr="00CE45B5">
        <w:tc>
          <w:tcPr>
            <w:tcW w:w="3116" w:type="dxa"/>
          </w:tcPr>
          <w:p w14:paraId="34C63DD9" w14:textId="77777777" w:rsidR="00CC247B" w:rsidRPr="003155C3" w:rsidRDefault="00CC247B" w:rsidP="00CC247B">
            <w:pPr>
              <w:pStyle w:val="BodyText"/>
              <w:jc w:val="both"/>
              <w:rPr>
                <w:rFonts w:asciiTheme="majorHAnsi" w:hAnsiTheme="majorHAnsi" w:cstheme="majorHAnsi"/>
                <w:sz w:val="20"/>
                <w:szCs w:val="20"/>
              </w:rPr>
            </w:pPr>
            <w:r>
              <w:rPr>
                <w:rFonts w:asciiTheme="majorHAnsi" w:hAnsiTheme="majorHAnsi"/>
                <w:sz w:val="20"/>
                <w:szCs w:val="20"/>
              </w:rPr>
              <w:t>BRE-të në konsumin final</w:t>
            </w:r>
          </w:p>
        </w:tc>
        <w:tc>
          <w:tcPr>
            <w:tcW w:w="3117" w:type="dxa"/>
            <w:vAlign w:val="bottom"/>
          </w:tcPr>
          <w:p w14:paraId="34C63DDA" w14:textId="77777777" w:rsidR="00CC247B" w:rsidRPr="003155C3" w:rsidRDefault="00CC247B" w:rsidP="00CC247B">
            <w:pPr>
              <w:pStyle w:val="BodyText"/>
              <w:jc w:val="center"/>
              <w:rPr>
                <w:rFonts w:asciiTheme="majorHAnsi" w:hAnsiTheme="majorHAnsi" w:cstheme="majorHAnsi"/>
                <w:sz w:val="20"/>
                <w:szCs w:val="20"/>
              </w:rPr>
            </w:pPr>
            <w:r>
              <w:rPr>
                <w:rFonts w:asciiTheme="majorHAnsi" w:hAnsiTheme="majorHAnsi"/>
                <w:color w:val="000000"/>
                <w:sz w:val="20"/>
                <w:szCs w:val="20"/>
              </w:rPr>
              <w:t>59,4</w:t>
            </w:r>
          </w:p>
        </w:tc>
        <w:tc>
          <w:tcPr>
            <w:tcW w:w="3117" w:type="dxa"/>
            <w:vAlign w:val="bottom"/>
          </w:tcPr>
          <w:p w14:paraId="34C63DDB" w14:textId="77777777" w:rsidR="00CC247B" w:rsidRPr="003155C3" w:rsidRDefault="00CC247B" w:rsidP="00CC247B">
            <w:pPr>
              <w:pStyle w:val="BodyText"/>
              <w:jc w:val="center"/>
              <w:rPr>
                <w:rFonts w:asciiTheme="majorHAnsi" w:hAnsiTheme="majorHAnsi" w:cstheme="majorHAnsi"/>
                <w:sz w:val="20"/>
                <w:szCs w:val="20"/>
              </w:rPr>
            </w:pPr>
            <w:r>
              <w:rPr>
                <w:rFonts w:asciiTheme="majorHAnsi" w:hAnsiTheme="majorHAnsi"/>
                <w:color w:val="000000"/>
                <w:sz w:val="20"/>
                <w:szCs w:val="20"/>
              </w:rPr>
              <w:t>66,7</w:t>
            </w:r>
          </w:p>
        </w:tc>
      </w:tr>
    </w:tbl>
    <w:p w14:paraId="34C63DDD" w14:textId="77777777" w:rsidR="007B4BBD" w:rsidRDefault="007B4BBD" w:rsidP="00794F59">
      <w:pPr>
        <w:pStyle w:val="BodyText"/>
        <w:jc w:val="both"/>
        <w:rPr>
          <w:rFonts w:asciiTheme="majorHAnsi" w:hAnsiTheme="majorHAnsi" w:cstheme="majorHAnsi"/>
        </w:rPr>
      </w:pPr>
    </w:p>
    <w:p w14:paraId="42DE9C2A" w14:textId="0EBDEC6C" w:rsidR="00AB2C1B" w:rsidRDefault="00794F59" w:rsidP="00AB2C1B">
      <w:pPr>
        <w:pStyle w:val="BodyText"/>
        <w:jc w:val="both"/>
        <w:rPr>
          <w:rFonts w:asciiTheme="majorHAnsi" w:hAnsiTheme="majorHAnsi" w:cstheme="majorHAnsi"/>
        </w:rPr>
      </w:pPr>
      <w:r>
        <w:rPr>
          <w:rFonts w:asciiTheme="majorHAnsi" w:hAnsiTheme="majorHAnsi"/>
        </w:rPr>
        <w:t xml:space="preserve">Zbatimi i masave për efiçencën e energjisë në sektorë të ndryshëm, duke përfshirë industrinë, ndërtesat rezidenciale dhe transportin, është thelbësor për të reduktuar konsumin e përgjithshëm të energjisë dhe shkarkimet e gazeve me efekt serrë (GES). </w:t>
      </w:r>
    </w:p>
    <w:p w14:paraId="34C63DDF" w14:textId="20C0DCC1" w:rsidR="00794F59" w:rsidRPr="00794F59" w:rsidRDefault="00794F59" w:rsidP="00794F59">
      <w:pPr>
        <w:pStyle w:val="BodyText"/>
        <w:jc w:val="both"/>
        <w:rPr>
          <w:rFonts w:asciiTheme="majorHAnsi" w:hAnsiTheme="majorHAnsi" w:cstheme="majorHAnsi"/>
        </w:rPr>
      </w:pPr>
      <w:r>
        <w:rPr>
          <w:rFonts w:asciiTheme="majorHAnsi" w:hAnsiTheme="majorHAnsi"/>
        </w:rPr>
        <w:t>Për këtë qëllim, Urdhri i Ministrit të Infrastrukturës dhe Energjisë Nr. 203, datë 18.10.2022, miratoi formatin për planet e veprimit dhe raportet vjetore të progresit për konsumatorët e mëdhenj të energjisë</w:t>
      </w:r>
      <w:r w:rsidR="00462129">
        <w:rPr>
          <w:rStyle w:val="FootnoteReference"/>
          <w:rFonts w:asciiTheme="majorHAnsi" w:hAnsiTheme="majorHAnsi" w:cstheme="majorHAnsi"/>
        </w:rPr>
        <w:footnoteReference w:id="7"/>
      </w:r>
      <w:r>
        <w:rPr>
          <w:rFonts w:asciiTheme="majorHAnsi" w:hAnsiTheme="majorHAnsi"/>
        </w:rPr>
        <w:t>. Në përputhje me parimin e kryerjes së auditimeve të energjisë për konsumatorët e mëdhenj, sidomos në aktivitetet industriale, dhe të promovimit të sistemeve të menaxhimit të energjisë për ndërmarrjet e vogla dhe të mesme (NVM), kjo rregullore synon të garantojë kursime energjie prej të paktën 4% të konsumit total të barasvlershëm të energjisë për këtë kategori konsumatorësh. Këto plane veprimi janë zhvilluar në bazë të raporteve të auditimit të kryera nga auditues të licencuar të energjisë. Konsumatorët e mëdhenj të energjisë elektrike, të cilët kanë punësuar menaxherë të certifikuar të energjisë, kanë detyrimin të raportojnë kursimet e tyre të energjisë pranë Agjencisë për Efiçencën e Energjisë.</w:t>
      </w:r>
    </w:p>
    <w:p w14:paraId="34C63DE0" w14:textId="77777777" w:rsidR="00794F59" w:rsidRPr="00794F59" w:rsidRDefault="00794F59" w:rsidP="00794F59">
      <w:pPr>
        <w:pStyle w:val="BodyText"/>
        <w:jc w:val="both"/>
        <w:rPr>
          <w:rFonts w:asciiTheme="majorHAnsi" w:hAnsiTheme="majorHAnsi" w:cstheme="majorHAnsi"/>
        </w:rPr>
      </w:pPr>
      <w:r>
        <w:rPr>
          <w:rFonts w:asciiTheme="majorHAnsi" w:hAnsiTheme="majorHAnsi"/>
        </w:rPr>
        <w:t>Për më tepër, Urdhri i Ministrit të Infrastrukturës dhe Energjisë Nr. 206, datë 25.10.2022, prezantoi formatin e miratuar të planeve vendore të veprimit për efiçencën e energjisë</w:t>
      </w:r>
      <w:r w:rsidR="00905D97">
        <w:rPr>
          <w:rStyle w:val="FootnoteReference"/>
          <w:rFonts w:asciiTheme="majorHAnsi" w:hAnsiTheme="majorHAnsi" w:cstheme="majorHAnsi"/>
        </w:rPr>
        <w:footnoteReference w:id="8"/>
      </w:r>
      <w:r>
        <w:rPr>
          <w:rFonts w:asciiTheme="majorHAnsi" w:hAnsiTheme="majorHAnsi"/>
        </w:rPr>
        <w:t xml:space="preserve"> dhe raportin e progresit për zbatimin e planeve, ndërsa Vendimi i Këshillit të Ministrave Nr. 189, datë 5.4.2023 krijoi një platformë monitorimi dhe verifikimi</w:t>
      </w:r>
      <w:r w:rsidR="001201A2">
        <w:rPr>
          <w:rStyle w:val="FootnoteReference"/>
          <w:rFonts w:asciiTheme="majorHAnsi" w:hAnsiTheme="majorHAnsi" w:cstheme="majorHAnsi"/>
        </w:rPr>
        <w:footnoteReference w:id="9"/>
      </w:r>
      <w:r>
        <w:rPr>
          <w:rFonts w:asciiTheme="majorHAnsi" w:hAnsiTheme="majorHAnsi"/>
        </w:rPr>
        <w:t>. Këto instrumente synohen të gjurmojnë aktivitetet për efiçencën e energjisë në nivel bashkie dhe do të shërbejnë si kuadër për vlerësimin e progresit kundrejt objektivave kombëtarë për efiçencën e energjisë.</w:t>
      </w:r>
    </w:p>
    <w:p w14:paraId="34C63DE1" w14:textId="6F98CD85" w:rsidR="00794F59" w:rsidRPr="00794F59" w:rsidRDefault="00794F59" w:rsidP="00794F59">
      <w:pPr>
        <w:pStyle w:val="BodyText"/>
        <w:jc w:val="both"/>
        <w:rPr>
          <w:rFonts w:asciiTheme="majorHAnsi" w:hAnsiTheme="majorHAnsi" w:cstheme="majorHAnsi"/>
        </w:rPr>
      </w:pPr>
      <w:r>
        <w:rPr>
          <w:rFonts w:asciiTheme="majorHAnsi" w:hAnsiTheme="majorHAnsi"/>
        </w:rPr>
        <w:t>Në sektorin e ndërtesave, aktualisht po zbatohet një paketë e ekuilibruar masash politike për të mbështetur rinovimin e stokut të ndërtesave dhe për të arritur nivelin e specifikuar të rinovimeve. Plani afatgjatë i rinovimit për ndërtesat publike dhe private është në zhvillim e sipër dhe do të përcaktojë masat e nevojshme politike, financiare, fiskale dhe rregullatore.</w:t>
      </w:r>
    </w:p>
    <w:p w14:paraId="34C63DE2" w14:textId="77777777" w:rsidR="007B4BBD" w:rsidRDefault="00794F59" w:rsidP="00794F59">
      <w:pPr>
        <w:pStyle w:val="BodyText"/>
        <w:jc w:val="both"/>
        <w:rPr>
          <w:rFonts w:asciiTheme="majorHAnsi" w:hAnsiTheme="majorHAnsi" w:cstheme="majorHAnsi"/>
        </w:rPr>
      </w:pPr>
      <w:r>
        <w:rPr>
          <w:rFonts w:asciiTheme="majorHAnsi" w:hAnsiTheme="majorHAnsi"/>
        </w:rPr>
        <w:lastRenderedPageBreak/>
        <w:t>Për më tepër, Udhëzimi i Ministrit të Infrastrukturës dhe Energjisë Nr. 23, datë 17.10.2022, prezantoi një model standard të kontratës për kontraktimin e performancës së energjisë sipas parimit të promovimit të modeleve të Shoqërisë së Shërbimeve Energjetike (ESCO) për të rritur investimet në efiçencën e energjisë.</w:t>
      </w:r>
    </w:p>
    <w:p w14:paraId="34C63DE3" w14:textId="0BDC3F28" w:rsidR="007B4BBD" w:rsidRDefault="00D60F9C" w:rsidP="00213150">
      <w:pPr>
        <w:pStyle w:val="BodyText"/>
        <w:jc w:val="both"/>
        <w:rPr>
          <w:rFonts w:asciiTheme="majorHAnsi" w:hAnsiTheme="majorHAnsi" w:cstheme="majorHAnsi"/>
        </w:rPr>
      </w:pPr>
      <w:r>
        <w:rPr>
          <w:rFonts w:asciiTheme="majorHAnsi" w:hAnsiTheme="majorHAnsi"/>
        </w:rPr>
        <w:t>Në fushën e efiçencës së energjisë është vendosur një objektiv për të reduktuar konsumin final të energjisë brenda vitit 2030 (</w:t>
      </w:r>
      <w:r w:rsidR="00387652">
        <w:rPr>
          <w:rFonts w:asciiTheme="majorHAnsi" w:hAnsiTheme="majorHAnsi" w:cstheme="majorHAnsi"/>
        </w:rPr>
        <w:fldChar w:fldCharType="begin"/>
      </w:r>
      <w:r>
        <w:rPr>
          <w:rFonts w:asciiTheme="majorHAnsi" w:hAnsiTheme="majorHAnsi" w:cstheme="majorHAnsi"/>
        </w:rPr>
        <w:instrText xml:space="preserve"> REF _Ref204959139 \h </w:instrText>
      </w:r>
      <w:r w:rsidR="00387652">
        <w:rPr>
          <w:rFonts w:asciiTheme="majorHAnsi" w:hAnsiTheme="majorHAnsi" w:cstheme="majorHAnsi"/>
        </w:rPr>
      </w:r>
      <w:r w:rsidR="00387652">
        <w:rPr>
          <w:rFonts w:asciiTheme="majorHAnsi" w:hAnsiTheme="majorHAnsi" w:cstheme="majorHAnsi"/>
        </w:rPr>
        <w:fldChar w:fldCharType="separate"/>
      </w:r>
      <w:r w:rsidR="00D0533E">
        <w:t xml:space="preserve">Tabela </w:t>
      </w:r>
      <w:r w:rsidR="00D0533E">
        <w:rPr>
          <w:rFonts w:cstheme="majorHAnsi"/>
          <w:noProof/>
        </w:rPr>
        <w:t>3</w:t>
      </w:r>
      <w:r w:rsidR="00387652">
        <w:rPr>
          <w:rFonts w:asciiTheme="majorHAnsi" w:hAnsiTheme="majorHAnsi" w:cstheme="majorHAnsi"/>
        </w:rPr>
        <w:fldChar w:fldCharType="end"/>
      </w:r>
      <w:r>
        <w:rPr>
          <w:rFonts w:asciiTheme="majorHAnsi" w:hAnsiTheme="majorHAnsi"/>
        </w:rPr>
        <w:t xml:space="preserve">; burimi: PKEK </w:t>
      </w:r>
      <w:r w:rsidRPr="00DD11E1">
        <w:rPr>
          <w:rFonts w:asciiTheme="majorHAnsi" w:hAnsiTheme="majorHAnsi"/>
        </w:rPr>
        <w:t>2025). Projeksionet për vitin 2035 bazohen në skenarin "me masa shtesë" (WAM) që parashikohet në PKEK</w:t>
      </w:r>
      <w:r>
        <w:rPr>
          <w:rFonts w:asciiTheme="majorHAnsi" w:hAnsiTheme="majorHAnsi"/>
        </w:rPr>
        <w:t xml:space="preserve"> 2025, i cili shërben si bazë për dokumentin aktual të Kontributit Kombëtar të Përcaktuar (KKP).</w:t>
      </w:r>
    </w:p>
    <w:p w14:paraId="34C63DE6" w14:textId="77777777" w:rsidR="00FC7C67" w:rsidRPr="00376025" w:rsidRDefault="00FC7C67" w:rsidP="00213150">
      <w:pPr>
        <w:pStyle w:val="BodyText"/>
        <w:jc w:val="both"/>
        <w:rPr>
          <w:rFonts w:asciiTheme="majorHAnsi" w:hAnsiTheme="majorHAnsi" w:cstheme="majorHAnsi"/>
        </w:rPr>
      </w:pPr>
    </w:p>
    <w:p w14:paraId="34C63DE7" w14:textId="56D0F63E" w:rsidR="00D60F9C" w:rsidRPr="00420F06" w:rsidRDefault="00D60F9C" w:rsidP="00D60F9C">
      <w:pPr>
        <w:pStyle w:val="Caption"/>
        <w:rPr>
          <w:rFonts w:cstheme="majorHAnsi"/>
        </w:rPr>
      </w:pPr>
      <w:bookmarkStart w:id="29" w:name="_Ref204959139"/>
      <w:bookmarkStart w:id="30" w:name="_Toc216778886"/>
      <w:r>
        <w:t xml:space="preserve">Tabela </w:t>
      </w:r>
      <w:r w:rsidR="00387652" w:rsidRPr="00420F06">
        <w:rPr>
          <w:rFonts w:cstheme="majorHAnsi"/>
        </w:rPr>
        <w:fldChar w:fldCharType="begin"/>
      </w:r>
      <w:r w:rsidRPr="00420F06">
        <w:rPr>
          <w:rFonts w:cstheme="majorHAnsi"/>
        </w:rPr>
        <w:instrText xml:space="preserve"> SEQ Table \* ARABIC </w:instrText>
      </w:r>
      <w:r w:rsidR="00387652" w:rsidRPr="00420F06">
        <w:rPr>
          <w:rFonts w:cstheme="majorHAnsi"/>
        </w:rPr>
        <w:fldChar w:fldCharType="separate"/>
      </w:r>
      <w:r w:rsidR="00D0533E">
        <w:rPr>
          <w:rFonts w:cstheme="majorHAnsi"/>
          <w:noProof/>
        </w:rPr>
        <w:t>3</w:t>
      </w:r>
      <w:r w:rsidR="00387652" w:rsidRPr="00420F06">
        <w:rPr>
          <w:rFonts w:cstheme="majorHAnsi"/>
        </w:rPr>
        <w:fldChar w:fldCharType="end"/>
      </w:r>
      <w:bookmarkEnd w:id="29"/>
      <w:r>
        <w:t>: Objektivat për konsumin final të energjisë</w:t>
      </w:r>
      <w:bookmarkEnd w:id="30"/>
    </w:p>
    <w:tbl>
      <w:tblPr>
        <w:tblStyle w:val="TableGrid"/>
        <w:tblW w:w="0" w:type="auto"/>
        <w:tblLook w:val="04A0" w:firstRow="1" w:lastRow="0" w:firstColumn="1" w:lastColumn="0" w:noHBand="0" w:noVBand="1"/>
      </w:tblPr>
      <w:tblGrid>
        <w:gridCol w:w="3685"/>
        <w:gridCol w:w="3060"/>
        <w:gridCol w:w="2605"/>
      </w:tblGrid>
      <w:tr w:rsidR="00D60F9C" w:rsidRPr="003155C3" w14:paraId="34C63DEB" w14:textId="77777777" w:rsidTr="00D60F9C">
        <w:tc>
          <w:tcPr>
            <w:tcW w:w="3685" w:type="dxa"/>
          </w:tcPr>
          <w:p w14:paraId="34C63DE8" w14:textId="77777777" w:rsidR="00D60F9C" w:rsidRPr="00376025" w:rsidRDefault="00D60F9C" w:rsidP="00CE45B5">
            <w:pPr>
              <w:pStyle w:val="BodyText"/>
              <w:jc w:val="both"/>
              <w:rPr>
                <w:rFonts w:asciiTheme="majorHAnsi" w:hAnsiTheme="majorHAnsi" w:cstheme="majorHAnsi"/>
                <w:b/>
                <w:bCs/>
                <w:sz w:val="20"/>
                <w:szCs w:val="20"/>
              </w:rPr>
            </w:pPr>
          </w:p>
        </w:tc>
        <w:tc>
          <w:tcPr>
            <w:tcW w:w="3060" w:type="dxa"/>
          </w:tcPr>
          <w:p w14:paraId="34C63DE9" w14:textId="1906A955" w:rsidR="00D60F9C" w:rsidRPr="00C33025" w:rsidRDefault="00C92EBC" w:rsidP="00CE45B5">
            <w:pPr>
              <w:pStyle w:val="BodyText"/>
              <w:jc w:val="center"/>
              <w:rPr>
                <w:rFonts w:asciiTheme="majorHAnsi" w:hAnsiTheme="majorHAnsi" w:cstheme="majorHAnsi"/>
                <w:b/>
                <w:bCs/>
                <w:sz w:val="20"/>
                <w:szCs w:val="20"/>
              </w:rPr>
            </w:pPr>
            <w:r>
              <w:rPr>
                <w:rFonts w:asciiTheme="majorHAnsi" w:hAnsiTheme="majorHAnsi"/>
                <w:b/>
                <w:bCs/>
                <w:sz w:val="20"/>
                <w:szCs w:val="20"/>
              </w:rPr>
              <w:t>Viti 2030</w:t>
            </w:r>
          </w:p>
        </w:tc>
        <w:tc>
          <w:tcPr>
            <w:tcW w:w="2605" w:type="dxa"/>
          </w:tcPr>
          <w:p w14:paraId="34C63DEA" w14:textId="2BFFA653" w:rsidR="00D60F9C" w:rsidRPr="00C33025" w:rsidRDefault="00C92EBC" w:rsidP="00CE45B5">
            <w:pPr>
              <w:pStyle w:val="BodyText"/>
              <w:jc w:val="center"/>
              <w:rPr>
                <w:rFonts w:asciiTheme="majorHAnsi" w:hAnsiTheme="majorHAnsi" w:cstheme="majorHAnsi"/>
                <w:b/>
                <w:bCs/>
                <w:sz w:val="20"/>
                <w:szCs w:val="20"/>
              </w:rPr>
            </w:pPr>
            <w:r>
              <w:rPr>
                <w:rFonts w:asciiTheme="majorHAnsi" w:hAnsiTheme="majorHAnsi"/>
                <w:b/>
                <w:bCs/>
                <w:sz w:val="20"/>
                <w:szCs w:val="20"/>
              </w:rPr>
              <w:t>Viti 2035</w:t>
            </w:r>
          </w:p>
        </w:tc>
      </w:tr>
      <w:tr w:rsidR="00D60F9C" w:rsidRPr="003155C3" w14:paraId="34C63DEF" w14:textId="77777777" w:rsidTr="00D60F9C">
        <w:tc>
          <w:tcPr>
            <w:tcW w:w="3685" w:type="dxa"/>
          </w:tcPr>
          <w:p w14:paraId="34C63DEC" w14:textId="77777777" w:rsidR="00D60F9C" w:rsidRPr="00B54FB5" w:rsidRDefault="00D60F9C" w:rsidP="00CE45B5">
            <w:pPr>
              <w:pStyle w:val="BodyText"/>
              <w:jc w:val="both"/>
              <w:rPr>
                <w:rFonts w:asciiTheme="majorHAnsi" w:hAnsiTheme="majorHAnsi" w:cstheme="majorHAnsi"/>
                <w:b/>
                <w:bCs/>
                <w:sz w:val="20"/>
                <w:szCs w:val="20"/>
              </w:rPr>
            </w:pPr>
            <w:r>
              <w:rPr>
                <w:rFonts w:asciiTheme="majorHAnsi" w:hAnsiTheme="majorHAnsi"/>
                <w:b/>
                <w:bCs/>
                <w:sz w:val="20"/>
                <w:szCs w:val="20"/>
              </w:rPr>
              <w:t>Konsumi final i energjisë (Mtoe)</w:t>
            </w:r>
          </w:p>
        </w:tc>
        <w:tc>
          <w:tcPr>
            <w:tcW w:w="3060" w:type="dxa"/>
            <w:vAlign w:val="bottom"/>
          </w:tcPr>
          <w:p w14:paraId="34C63DED" w14:textId="77777777" w:rsidR="00D60F9C" w:rsidRPr="00C33025" w:rsidRDefault="00D60F9C" w:rsidP="00CE45B5">
            <w:pPr>
              <w:pStyle w:val="BodyText"/>
              <w:jc w:val="center"/>
              <w:rPr>
                <w:rFonts w:asciiTheme="majorHAnsi" w:hAnsiTheme="majorHAnsi" w:cstheme="majorHAnsi"/>
                <w:sz w:val="20"/>
                <w:szCs w:val="20"/>
              </w:rPr>
            </w:pPr>
            <w:r>
              <w:rPr>
                <w:rFonts w:asciiTheme="majorHAnsi" w:hAnsiTheme="majorHAnsi"/>
                <w:color w:val="000000"/>
                <w:sz w:val="20"/>
                <w:szCs w:val="20"/>
              </w:rPr>
              <w:t>2,25</w:t>
            </w:r>
          </w:p>
        </w:tc>
        <w:tc>
          <w:tcPr>
            <w:tcW w:w="2605" w:type="dxa"/>
            <w:vAlign w:val="bottom"/>
          </w:tcPr>
          <w:p w14:paraId="34C63DEE" w14:textId="77777777" w:rsidR="00D60F9C" w:rsidRPr="00C33025" w:rsidRDefault="00D60F9C" w:rsidP="00CE45B5">
            <w:pPr>
              <w:pStyle w:val="BodyText"/>
              <w:jc w:val="center"/>
              <w:rPr>
                <w:rFonts w:asciiTheme="majorHAnsi" w:hAnsiTheme="majorHAnsi" w:cstheme="majorHAnsi"/>
                <w:sz w:val="20"/>
                <w:szCs w:val="20"/>
              </w:rPr>
            </w:pPr>
            <w:r>
              <w:rPr>
                <w:rFonts w:asciiTheme="majorHAnsi" w:hAnsiTheme="majorHAnsi"/>
                <w:color w:val="000000"/>
                <w:sz w:val="20"/>
                <w:szCs w:val="20"/>
              </w:rPr>
              <w:t>2,37</w:t>
            </w:r>
          </w:p>
        </w:tc>
      </w:tr>
    </w:tbl>
    <w:p w14:paraId="34C63DF0" w14:textId="77777777" w:rsidR="00D60F9C" w:rsidRDefault="00D60F9C" w:rsidP="00213150">
      <w:pPr>
        <w:pStyle w:val="BodyText"/>
        <w:jc w:val="both"/>
        <w:rPr>
          <w:rFonts w:asciiTheme="majorHAnsi" w:hAnsiTheme="majorHAnsi" w:cstheme="majorHAnsi"/>
        </w:rPr>
      </w:pPr>
    </w:p>
    <w:p w14:paraId="1A3A1C21" w14:textId="51C72C38" w:rsidR="007579CC" w:rsidRPr="00CB4EEC" w:rsidRDefault="007579CC" w:rsidP="007579CC">
      <w:pPr>
        <w:pStyle w:val="BodyText"/>
        <w:jc w:val="both"/>
        <w:rPr>
          <w:rFonts w:asciiTheme="majorHAnsi" w:hAnsiTheme="majorHAnsi" w:cstheme="majorHAnsi"/>
        </w:rPr>
      </w:pPr>
      <w:r>
        <w:rPr>
          <w:rFonts w:asciiTheme="majorHAnsi" w:hAnsiTheme="majorHAnsi"/>
          <w:u w:val="single"/>
        </w:rPr>
        <w:t>Strategjia Ndërsektoriale e Bujqësisë, Zhvillimit Rural dhe Peshkimit</w:t>
      </w:r>
      <w:r>
        <w:rPr>
          <w:rFonts w:asciiTheme="majorHAnsi" w:hAnsiTheme="majorHAnsi"/>
        </w:rPr>
        <w:t xml:space="preserve"> (2021–2027)</w:t>
      </w:r>
      <w:r>
        <w:rPr>
          <w:rStyle w:val="FootnoteReference"/>
          <w:rFonts w:asciiTheme="majorHAnsi" w:hAnsiTheme="majorHAnsi" w:cstheme="majorHAnsi"/>
          <w:lang w:val="en-US"/>
        </w:rPr>
        <w:footnoteReference w:id="10"/>
      </w:r>
      <w:r>
        <w:rPr>
          <w:rFonts w:asciiTheme="majorHAnsi" w:hAnsiTheme="majorHAnsi"/>
        </w:rPr>
        <w:t>, miratuar në vitin 2022, parashikon një qasje gjithëpërfshirëse që integron objektivat për zbutjen e ndryshimeve klimatike në planifikimin sektorial. Komponentët kryesorë të strategjisë që lidhen me zbutjen përfshijnë:</w:t>
      </w:r>
    </w:p>
    <w:p w14:paraId="4255DA02" w14:textId="77777777" w:rsidR="007579CC" w:rsidRPr="00CB4EEC" w:rsidRDefault="007579CC" w:rsidP="00E7639B">
      <w:pPr>
        <w:pStyle w:val="BodyText"/>
        <w:numPr>
          <w:ilvl w:val="0"/>
          <w:numId w:val="12"/>
        </w:numPr>
        <w:spacing w:after="0"/>
        <w:jc w:val="both"/>
        <w:rPr>
          <w:rFonts w:asciiTheme="majorHAnsi" w:hAnsiTheme="majorHAnsi" w:cstheme="majorHAnsi"/>
        </w:rPr>
      </w:pPr>
      <w:r>
        <w:rPr>
          <w:rFonts w:asciiTheme="majorHAnsi" w:hAnsiTheme="majorHAnsi"/>
        </w:rPr>
        <w:t>Promovimin e praktikave të qëndrueshme bujqësore – Nxitja e përdorimit efikas të burimeve dhe adoptimi i teknologjive të gjelbra për reduktimin e shkarkimeve të GES-ve nga aktivitetet bujqësore.</w:t>
      </w:r>
    </w:p>
    <w:p w14:paraId="72994528" w14:textId="77777777" w:rsidR="007579CC" w:rsidRPr="00CB4EEC" w:rsidRDefault="007579CC" w:rsidP="00E7639B">
      <w:pPr>
        <w:pStyle w:val="BodyText"/>
        <w:numPr>
          <w:ilvl w:val="0"/>
          <w:numId w:val="12"/>
        </w:numPr>
        <w:spacing w:after="0"/>
        <w:jc w:val="both"/>
        <w:rPr>
          <w:rFonts w:asciiTheme="majorHAnsi" w:hAnsiTheme="majorHAnsi" w:cstheme="majorHAnsi"/>
        </w:rPr>
      </w:pPr>
      <w:r>
        <w:rPr>
          <w:rFonts w:asciiTheme="majorHAnsi" w:hAnsiTheme="majorHAnsi"/>
        </w:rPr>
        <w:t>Përmirësimet e përdorimit të tokës dhe restaurimin e ekosistemit – Mbështetja ndaj ripyllëzimit, ruajtjes së tokës dhe përmirësimit të menaxhimit të tokës për të rritur sekuestrimin e karbonit dhe reduktimin e degradimit të tokës.</w:t>
      </w:r>
    </w:p>
    <w:p w14:paraId="7CFF05D7" w14:textId="4346AC9D" w:rsidR="007579CC" w:rsidRDefault="007579CC" w:rsidP="00E7639B">
      <w:pPr>
        <w:pStyle w:val="BodyText"/>
        <w:numPr>
          <w:ilvl w:val="0"/>
          <w:numId w:val="12"/>
        </w:numPr>
        <w:spacing w:after="0"/>
        <w:jc w:val="both"/>
        <w:rPr>
          <w:rFonts w:asciiTheme="majorHAnsi" w:hAnsiTheme="majorHAnsi" w:cstheme="majorHAnsi"/>
        </w:rPr>
      </w:pPr>
      <w:r>
        <w:rPr>
          <w:rFonts w:asciiTheme="majorHAnsi" w:hAnsiTheme="majorHAnsi"/>
        </w:rPr>
        <w:t>Menaxhimin e qëndrueshëm të peshkimit – Zbatimi i praktikave që parandalojnë mbipeshkimin dhe mbrojnë ekosistemet detare, duke mbështetur kështu biodiversitetin dhe duke kontribuuar në reduktimin e shkarkimeve në sektorin e peshkimit.</w:t>
      </w:r>
      <w:r>
        <w:rPr>
          <w:rFonts w:asciiTheme="majorHAnsi" w:hAnsiTheme="majorHAnsi"/>
        </w:rPr>
        <w:br/>
      </w:r>
    </w:p>
    <w:p w14:paraId="34C63DF3" w14:textId="11ADACD1" w:rsidR="00CB4EEC" w:rsidRPr="00CB4EEC" w:rsidRDefault="00CB4EEC" w:rsidP="00CB4EEC">
      <w:pPr>
        <w:pStyle w:val="BodyText"/>
        <w:jc w:val="both"/>
        <w:rPr>
          <w:rFonts w:asciiTheme="majorHAnsi" w:hAnsiTheme="majorHAnsi" w:cstheme="majorHAnsi"/>
        </w:rPr>
      </w:pPr>
      <w:r>
        <w:rPr>
          <w:rFonts w:asciiTheme="majorHAnsi" w:hAnsiTheme="majorHAnsi"/>
        </w:rPr>
        <w:t xml:space="preserve">Në </w:t>
      </w:r>
      <w:r>
        <w:rPr>
          <w:rFonts w:asciiTheme="majorHAnsi" w:hAnsiTheme="majorHAnsi"/>
          <w:u w:val="single"/>
        </w:rPr>
        <w:t>sektorin e pyjeve dhe të përdorimit të tokës</w:t>
      </w:r>
      <w:r>
        <w:rPr>
          <w:rFonts w:asciiTheme="majorHAnsi" w:hAnsiTheme="majorHAnsi"/>
        </w:rPr>
        <w:t>, Shqipëria po investon në projektet e ripyllëzimit dhe pyllëzimit në kuadër të përpjekjeve të saj për të kompensuar shkarkimet e gazeve me efekt serrë. Këto nisma jo vetëm që kontribuojnë në përthithjen e dyoksidit të karbonit, por përmirësojnë gjithashtu biodiversitetin dhe mirëqenien e ekosistemit. Vendi po adopton gjithashtu praktika të qëndrueshme për përdorimin e tokës dhe po zbaton masa për parandalimin e shpyllëzimit, të cilat janë kritike për ruajtjen e kapaciteteve të përthithjes së karbonit dhe për përmirësimin e qëndrueshmërisë së mjedisit. Në vitin 2018, Shqipëria miratoi dokumentin e politikave për pyjet 2019-2030 përmes VKM-së Nr. 814, datë 31.12.2018</w:t>
      </w:r>
      <w:r w:rsidR="00352293" w:rsidRPr="00E7639B">
        <w:rPr>
          <w:rStyle w:val="FootnoteReference"/>
          <w:rFonts w:asciiTheme="majorHAnsi" w:hAnsiTheme="majorHAnsi" w:cstheme="majorHAnsi"/>
          <w:lang w:val="en-US"/>
        </w:rPr>
        <w:footnoteReference w:id="11"/>
      </w:r>
      <w:r>
        <w:rPr>
          <w:rFonts w:asciiTheme="majorHAnsi" w:hAnsiTheme="majorHAnsi"/>
        </w:rPr>
        <w:t xml:space="preserve">. </w:t>
      </w:r>
    </w:p>
    <w:p w14:paraId="4C6295A4" w14:textId="055E7CDD" w:rsidR="00F876AC" w:rsidRPr="00F876AC" w:rsidRDefault="00F876AC" w:rsidP="00AF0436">
      <w:pPr>
        <w:pStyle w:val="BodyText"/>
        <w:jc w:val="both"/>
        <w:rPr>
          <w:rFonts w:asciiTheme="majorHAnsi" w:hAnsiTheme="majorHAnsi" w:cstheme="majorHAnsi"/>
        </w:rPr>
      </w:pPr>
      <w:r>
        <w:rPr>
          <w:rFonts w:asciiTheme="majorHAnsi" w:hAnsiTheme="majorHAnsi"/>
        </w:rPr>
        <w:t xml:space="preserve">Përmes nxitjes së këtyre veprimeve, SKZHIE III njeh rolin e ekosistemeve në zbutjen dhe përshtatjen ndaj ndryshimeve klimatike. Kjo strategji diskuton rëndësinë e habitateve ligatinore duke i konsideruar ato si jetike për biodiversitetin e Shqipërisë, pasi përfshijnë afro 70% të </w:t>
      </w:r>
      <w:r>
        <w:rPr>
          <w:rFonts w:asciiTheme="majorHAnsi" w:hAnsiTheme="majorHAnsi"/>
        </w:rPr>
        <w:lastRenderedPageBreak/>
        <w:t>specieve të shpendëve, zvarranikëve dhe gjitarëve të vendit, si dhe ofrojnë shërbime si zbutja e rrezikut të përmbytjeve, sekuestrimi i karbonit dhe ekuilibrimi i treguesve klimatikë. Po kështu, menaxhimi i qëndrueshëm i burimeve ujore përfshin aspektet ekologjike, ndaj vizioni për sektorin e ujit brenda vitit 2030 përfshin përdorimin efikas dhe menaxhimin e integruar që siguron mbrojtjen e mjedisit natyror dhe të biodiversitetit, si dhe përmirësimin e statusit të trupave ujorë, përmes kontrollit të ndotjes dhe reduktimit të luhatjeve.</w:t>
      </w:r>
    </w:p>
    <w:p w14:paraId="34C63DF8" w14:textId="77777777" w:rsidR="00CB4EEC" w:rsidRPr="00684F24" w:rsidRDefault="00CB4EEC" w:rsidP="00684F24">
      <w:pPr>
        <w:pStyle w:val="BodyText"/>
        <w:jc w:val="both"/>
        <w:rPr>
          <w:rFonts w:asciiTheme="majorHAnsi" w:hAnsiTheme="majorHAnsi" w:cstheme="majorHAnsi"/>
        </w:rPr>
      </w:pPr>
      <w:r>
        <w:rPr>
          <w:rFonts w:asciiTheme="majorHAnsi" w:hAnsiTheme="majorHAnsi"/>
        </w:rPr>
        <w:t xml:space="preserve">Në </w:t>
      </w:r>
      <w:r>
        <w:rPr>
          <w:rFonts w:asciiTheme="majorHAnsi" w:hAnsiTheme="majorHAnsi"/>
          <w:u w:val="single"/>
        </w:rPr>
        <w:t>sektorin e mbetjeve</w:t>
      </w:r>
      <w:r>
        <w:rPr>
          <w:rFonts w:asciiTheme="majorHAnsi" w:hAnsiTheme="majorHAnsi"/>
        </w:rPr>
        <w:t xml:space="preserve">, janë adoptuar dhe zbatuar disa masa zbutëse për të reduktuar shkarkimet e metanit (CH₄) nga mbetjet e biodegradueshme. Këto masa përfshijnë integrimin e impianteve të incinerimit të mbetjeve në sistemin e përgjithshëm të menaxhimit të mbetjeve të Shqipërisë, zgjerimin e impianteve për trajtimin aerobik të ujërave të ndotura dhe të mbulimit të tyre, si dhe ngritjen e kapaciteteve dhe zhvillimin institucional lidhur me menaxhimin e mbetjeve dhe të ujërave të ndotura në nivel bashkie. </w:t>
      </w:r>
    </w:p>
    <w:p w14:paraId="2F8EE318" w14:textId="51A15749" w:rsidR="00D0533E" w:rsidRDefault="00CB4EEC" w:rsidP="00852E36">
      <w:pPr>
        <w:pStyle w:val="BodyText"/>
        <w:jc w:val="both"/>
        <w:rPr>
          <w:rFonts w:cstheme="majorHAnsi"/>
        </w:rPr>
      </w:pPr>
      <w:r>
        <w:rPr>
          <w:rFonts w:asciiTheme="majorHAnsi" w:hAnsiTheme="majorHAnsi"/>
        </w:rPr>
        <w:t>Si një vend kandidat për anëtarësim në BE, Shqipëria po përafron politikat e saj për klimën me rregulloret dhe standardet e BE-së me qëllimin për të mbështetur tranzicionin e saj të gjelbër. Vendi synon të marrë pjesë në mënyrë aktive në nismat e financuara nga BE-ja, të cilat promovojnë zhvillimin e qëndrueshëm dhe neutralitetin klimatik. Duke shfrytëzuar mbështetjen financiare dhe asistencën teknike të BE-së, Shqipëria synon të forcojë kapacitetin e saj për zbatimin e projekteve lidhur me veprimet për klimën dhe të bëjë progres në miratimin e politikave për neutralitetin klimatik.</w:t>
      </w:r>
      <w:r w:rsidR="00387652">
        <w:rPr>
          <w:rFonts w:cstheme="majorHAnsi"/>
        </w:rPr>
        <w:fldChar w:fldCharType="begin"/>
      </w:r>
      <w:r w:rsidR="00C32325">
        <w:rPr>
          <w:rFonts w:cstheme="majorHAnsi"/>
        </w:rPr>
        <w:instrText xml:space="preserve"> REF _Ref204966480 \h </w:instrText>
      </w:r>
      <w:r w:rsidR="00387652">
        <w:rPr>
          <w:rFonts w:cstheme="majorHAnsi"/>
        </w:rPr>
      </w:r>
      <w:r w:rsidR="00387652">
        <w:rPr>
          <w:rFonts w:cstheme="majorHAnsi"/>
        </w:rPr>
        <w:fldChar w:fldCharType="separate"/>
      </w:r>
    </w:p>
    <w:p w14:paraId="17AAEDC2" w14:textId="77777777" w:rsidR="00D0533E" w:rsidRDefault="00D0533E" w:rsidP="00192EE9">
      <w:pPr>
        <w:pStyle w:val="Caption"/>
        <w:rPr>
          <w:rFonts w:cstheme="majorHAnsi"/>
        </w:rPr>
      </w:pPr>
    </w:p>
    <w:p w14:paraId="136FDD62" w14:textId="77777777" w:rsidR="00D0533E" w:rsidRDefault="00D0533E" w:rsidP="00192EE9">
      <w:pPr>
        <w:pStyle w:val="Caption"/>
        <w:rPr>
          <w:rFonts w:cstheme="majorHAnsi"/>
        </w:rPr>
      </w:pPr>
    </w:p>
    <w:p w14:paraId="34C63DFA" w14:textId="39F19A08" w:rsidR="00192EE9" w:rsidRPr="00192EE9" w:rsidRDefault="00D0533E" w:rsidP="00192EE9">
      <w:pPr>
        <w:pStyle w:val="BodyText"/>
        <w:jc w:val="both"/>
        <w:rPr>
          <w:rFonts w:asciiTheme="majorHAnsi" w:hAnsiTheme="majorHAnsi" w:cstheme="majorHAnsi"/>
        </w:rPr>
      </w:pPr>
      <w:r>
        <w:t xml:space="preserve">Tabela </w:t>
      </w:r>
      <w:r>
        <w:rPr>
          <w:rFonts w:cstheme="majorHAnsi"/>
          <w:noProof/>
        </w:rPr>
        <w:t>4</w:t>
      </w:r>
      <w:r w:rsidR="00387652">
        <w:rPr>
          <w:rFonts w:asciiTheme="majorHAnsi" w:hAnsiTheme="majorHAnsi" w:cstheme="majorHAnsi"/>
        </w:rPr>
        <w:fldChar w:fldCharType="end"/>
      </w:r>
      <w:r w:rsidR="00387652">
        <w:rPr>
          <w:rFonts w:asciiTheme="majorHAnsi" w:hAnsiTheme="majorHAnsi"/>
        </w:rPr>
        <w:t xml:space="preserve"> ofron një përmbledhje të politikave dhe masave (PM) kryesore që ndikojnë në objektivat kombëtare për zbutjen e ndryshimeve klimatike.</w:t>
      </w:r>
    </w:p>
    <w:p w14:paraId="34C63DFB" w14:textId="77777777" w:rsidR="00192EE9" w:rsidRPr="00AF0436" w:rsidRDefault="00192EE9" w:rsidP="00192EE9">
      <w:pPr>
        <w:pStyle w:val="BodyText"/>
        <w:jc w:val="both"/>
        <w:rPr>
          <w:rFonts w:asciiTheme="majorHAnsi" w:hAnsiTheme="majorHAnsi" w:cstheme="majorHAnsi"/>
          <w:u w:val="single"/>
        </w:rPr>
      </w:pPr>
      <w:r>
        <w:rPr>
          <w:rFonts w:asciiTheme="majorHAnsi" w:hAnsiTheme="majorHAnsi"/>
          <w:u w:val="single"/>
        </w:rPr>
        <w:t>Përkufizime:</w:t>
      </w:r>
    </w:p>
    <w:p w14:paraId="34C63DFC" w14:textId="77777777" w:rsidR="00192EE9" w:rsidRPr="00192EE9" w:rsidRDefault="00192EE9" w:rsidP="00AF0436">
      <w:pPr>
        <w:pStyle w:val="BodyText"/>
        <w:numPr>
          <w:ilvl w:val="0"/>
          <w:numId w:val="14"/>
        </w:numPr>
        <w:spacing w:after="0"/>
        <w:jc w:val="both"/>
        <w:rPr>
          <w:rFonts w:asciiTheme="majorHAnsi" w:hAnsiTheme="majorHAnsi" w:cstheme="majorHAnsi"/>
        </w:rPr>
      </w:pPr>
      <w:r>
        <w:rPr>
          <w:rFonts w:asciiTheme="majorHAnsi" w:hAnsiTheme="majorHAnsi"/>
        </w:rPr>
        <w:t>Politikat dhe masat ekzistuese përfshijnë politikat e zbatuara dhe të miratuara:</w:t>
      </w:r>
    </w:p>
    <w:p w14:paraId="34C63DFD" w14:textId="77777777" w:rsidR="00192EE9" w:rsidRPr="00192EE9" w:rsidRDefault="00192EE9" w:rsidP="00AF0436">
      <w:pPr>
        <w:pStyle w:val="BodyText"/>
        <w:numPr>
          <w:ilvl w:val="1"/>
          <w:numId w:val="14"/>
        </w:numPr>
        <w:spacing w:after="0"/>
        <w:jc w:val="both"/>
        <w:rPr>
          <w:rFonts w:asciiTheme="majorHAnsi" w:hAnsiTheme="majorHAnsi" w:cstheme="majorHAnsi"/>
        </w:rPr>
      </w:pPr>
      <w:r>
        <w:rPr>
          <w:rFonts w:asciiTheme="majorHAnsi" w:hAnsiTheme="majorHAnsi"/>
        </w:rPr>
        <w:t>PM-të e zbatuara janë ato për të cilat të paktën një nga kushtet e mëposhtme është përmbushur në datën e dorëzimit të Planit Kombëtar të Energjisë dhe Klimës (PKEK) ose të raportit të progresit: legjislacioni i detyrueshëm kombëtar ose i BE-së është në fuqi, ekzistojnë marrëveshje vullnetare dhe janë alokuar burimet financiare ose njerëzore.</w:t>
      </w:r>
    </w:p>
    <w:p w14:paraId="34C63DFE" w14:textId="77777777" w:rsidR="00192EE9" w:rsidRPr="00192EE9" w:rsidRDefault="00192EE9" w:rsidP="00AF0436">
      <w:pPr>
        <w:pStyle w:val="BodyText"/>
        <w:numPr>
          <w:ilvl w:val="1"/>
          <w:numId w:val="14"/>
        </w:numPr>
        <w:spacing w:after="0"/>
        <w:jc w:val="both"/>
        <w:rPr>
          <w:rFonts w:asciiTheme="majorHAnsi" w:hAnsiTheme="majorHAnsi" w:cstheme="majorHAnsi"/>
        </w:rPr>
      </w:pPr>
      <w:r>
        <w:rPr>
          <w:rFonts w:asciiTheme="majorHAnsi" w:hAnsiTheme="majorHAnsi"/>
        </w:rPr>
        <w:t>PM-të e miratuara janë ato të cilat janë miratuar zyrtarisht nga qeveria në datën e dorëzimit dhe të cilat përmbajnë një angazhim të qartë ndaj zbatimit.</w:t>
      </w:r>
    </w:p>
    <w:p w14:paraId="34C63DFF" w14:textId="1A97D72D" w:rsidR="00192EE9" w:rsidRPr="00192EE9" w:rsidRDefault="00192EE9" w:rsidP="00AF0436">
      <w:pPr>
        <w:pStyle w:val="BodyText"/>
        <w:numPr>
          <w:ilvl w:val="0"/>
          <w:numId w:val="14"/>
        </w:numPr>
        <w:spacing w:after="0"/>
        <w:jc w:val="both"/>
        <w:rPr>
          <w:rFonts w:asciiTheme="majorHAnsi" w:hAnsiTheme="majorHAnsi" w:cstheme="majorHAnsi"/>
        </w:rPr>
      </w:pPr>
      <w:r>
        <w:rPr>
          <w:rFonts w:asciiTheme="majorHAnsi" w:hAnsiTheme="majorHAnsi"/>
        </w:rPr>
        <w:t>PM-të e planifikuara janë ato në diskutim e sipër dhe që kanë gjasa reale që të miratohen dhe zbatohen pas datës së dorëzimit.</w:t>
      </w:r>
      <w:r>
        <w:rPr>
          <w:rFonts w:asciiTheme="majorHAnsi" w:hAnsiTheme="majorHAnsi"/>
        </w:rPr>
        <w:br/>
      </w:r>
    </w:p>
    <w:p w14:paraId="34C63E00" w14:textId="77777777" w:rsidR="00192EE9" w:rsidRPr="00192EE9" w:rsidRDefault="00192EE9" w:rsidP="00AF0436">
      <w:pPr>
        <w:pStyle w:val="BodyText"/>
        <w:spacing w:after="0"/>
        <w:jc w:val="both"/>
        <w:rPr>
          <w:rFonts w:asciiTheme="majorHAnsi" w:hAnsiTheme="majorHAnsi" w:cstheme="majorHAnsi"/>
        </w:rPr>
      </w:pPr>
      <w:r>
        <w:rPr>
          <w:rFonts w:asciiTheme="majorHAnsi" w:hAnsiTheme="majorHAnsi"/>
        </w:rPr>
        <w:t>PM-të kategorizohen sipas dy skenarëve:</w:t>
      </w:r>
    </w:p>
    <w:p w14:paraId="34C63E01" w14:textId="77777777" w:rsidR="00192EE9" w:rsidRPr="00192EE9" w:rsidRDefault="00192EE9" w:rsidP="00AF0436">
      <w:pPr>
        <w:pStyle w:val="BodyText"/>
        <w:numPr>
          <w:ilvl w:val="0"/>
          <w:numId w:val="15"/>
        </w:numPr>
        <w:spacing w:after="0"/>
        <w:jc w:val="both"/>
        <w:rPr>
          <w:rFonts w:asciiTheme="majorHAnsi" w:hAnsiTheme="majorHAnsi" w:cstheme="majorHAnsi"/>
        </w:rPr>
      </w:pPr>
      <w:r>
        <w:rPr>
          <w:rFonts w:asciiTheme="majorHAnsi" w:hAnsiTheme="majorHAnsi"/>
        </w:rPr>
        <w:t>WEM (Me masa ekzistuese): Përfshin PM-të e zbatuara dhe të miratuara.</w:t>
      </w:r>
    </w:p>
    <w:p w14:paraId="34C63E02" w14:textId="77777777" w:rsidR="00192EE9" w:rsidRPr="00192EE9" w:rsidRDefault="00192EE9" w:rsidP="00AF0436">
      <w:pPr>
        <w:pStyle w:val="BodyText"/>
        <w:numPr>
          <w:ilvl w:val="0"/>
          <w:numId w:val="15"/>
        </w:numPr>
        <w:spacing w:after="0"/>
        <w:jc w:val="both"/>
        <w:rPr>
          <w:rFonts w:asciiTheme="majorHAnsi" w:hAnsiTheme="majorHAnsi" w:cstheme="majorHAnsi"/>
        </w:rPr>
      </w:pPr>
      <w:r>
        <w:rPr>
          <w:rFonts w:asciiTheme="majorHAnsi" w:hAnsiTheme="majorHAnsi"/>
        </w:rPr>
        <w:t>WAM (me masa shtesë): Përfshin PM-të e planifikuara dhe PM-të e tjera të reja që kanë gjasa reale për t'u zbatuar.</w:t>
      </w:r>
    </w:p>
    <w:p w14:paraId="34C63E03" w14:textId="5BFCEF77" w:rsidR="00056049" w:rsidRDefault="00340775" w:rsidP="00CC45FA">
      <w:pPr>
        <w:pStyle w:val="BodyText"/>
        <w:jc w:val="both"/>
        <w:rPr>
          <w:rFonts w:asciiTheme="majorHAnsi" w:hAnsiTheme="majorHAnsi" w:cstheme="majorHAnsi"/>
        </w:rPr>
      </w:pPr>
      <w:r>
        <w:rPr>
          <w:rFonts w:asciiTheme="majorHAnsi" w:hAnsiTheme="majorHAnsi"/>
        </w:rPr>
        <w:t xml:space="preserve">Ndikimi i masave të planifikuara, pra i veprimeve shtesë të propozuara krahas atyre që tashmë janë zbatuar dhe miratuar, vlerësohet të rezultojë në një reduktim total prej 3,2 MtCO₂eq në shkarkimet e gazeve me efekt serrë. Shpërndarja sektoriale e këtij efekti zbutës tregohet në </w:t>
      </w:r>
      <w:r w:rsidR="00387652">
        <w:rPr>
          <w:rFonts w:asciiTheme="majorHAnsi" w:hAnsiTheme="majorHAnsi" w:cstheme="majorHAnsi"/>
        </w:rPr>
        <w:lastRenderedPageBreak/>
        <w:fldChar w:fldCharType="begin"/>
      </w:r>
      <w:r w:rsidR="00E34404">
        <w:rPr>
          <w:rFonts w:asciiTheme="majorHAnsi" w:hAnsiTheme="majorHAnsi" w:cstheme="majorHAnsi"/>
        </w:rPr>
        <w:instrText xml:space="preserve"> REF _Ref211287614 \h </w:instrText>
      </w:r>
      <w:r w:rsidR="00387652">
        <w:rPr>
          <w:rFonts w:asciiTheme="majorHAnsi" w:hAnsiTheme="majorHAnsi" w:cstheme="majorHAnsi"/>
        </w:rPr>
      </w:r>
      <w:r w:rsidR="00387652">
        <w:rPr>
          <w:rFonts w:asciiTheme="majorHAnsi" w:hAnsiTheme="majorHAnsi" w:cstheme="majorHAnsi"/>
        </w:rPr>
        <w:fldChar w:fldCharType="separate"/>
      </w:r>
      <w:r w:rsidR="00D0533E">
        <w:t xml:space="preserve">Figura </w:t>
      </w:r>
      <w:r w:rsidR="00D0533E">
        <w:rPr>
          <w:rFonts w:cstheme="majorHAnsi"/>
          <w:noProof/>
        </w:rPr>
        <w:t>5</w:t>
      </w:r>
      <w:r w:rsidR="00387652">
        <w:rPr>
          <w:rFonts w:asciiTheme="majorHAnsi" w:hAnsiTheme="majorHAnsi" w:cstheme="majorHAnsi"/>
        </w:rPr>
        <w:fldChar w:fldCharType="end"/>
      </w:r>
      <w:r>
        <w:rPr>
          <w:rFonts w:asciiTheme="majorHAnsi" w:hAnsiTheme="majorHAnsi"/>
        </w:rPr>
        <w:t>. Rreth 29% e reduktimit total midis dy skenarëve vjen nga sektori i transportit, 23% nga PTNPTP-ja, 17% nga industria dhe 15% nga PIPP-ja. Kontributi nga sektorët e tjerë është më i vogël dhe varion nga 2% deri në 6%. Sektori i mbetjeve nuk përfshihet në këtë alokim, pasi ndikimi i masave që lidhen me mbetjet pasqyrohet tashmë në skenarin WEM.</w:t>
      </w:r>
    </w:p>
    <w:p w14:paraId="34C63E04" w14:textId="4FCE2636" w:rsidR="00056049" w:rsidRDefault="00340775" w:rsidP="00CC45FA">
      <w:pPr>
        <w:pStyle w:val="BodyText"/>
        <w:jc w:val="both"/>
        <w:rPr>
          <w:rFonts w:asciiTheme="majorHAnsi" w:hAnsiTheme="majorHAnsi" w:cstheme="majorHAnsi"/>
        </w:rPr>
      </w:pPr>
      <w:r>
        <w:rPr>
          <w:rFonts w:asciiTheme="majorHAnsi" w:hAnsiTheme="majorHAnsi"/>
        </w:rPr>
        <w:t>Është e rëndësishme të theksohet se efekti zbutës që i atribuohet sektorit të PTNPTP-së në skenarin WAM nuk rezulton nga rritja e thithjes së karbonit nga pyjet. Në fakt, ai pasqyron reduktimin e humbjeve të karbonit të arritur përmes përmirësimit të menaxhimit të pyjeve, promovimit të praktikave të qëndrueshme të përdorimit të tokës dhe parandalimit të shpyllëzimit.</w:t>
      </w:r>
    </w:p>
    <w:p w14:paraId="34C63E05" w14:textId="439A421B" w:rsidR="00056049" w:rsidRDefault="00852E36" w:rsidP="00C51392">
      <w:pPr>
        <w:pStyle w:val="BodyText"/>
        <w:jc w:val="center"/>
        <w:rPr>
          <w:rFonts w:asciiTheme="majorHAnsi" w:hAnsiTheme="majorHAnsi" w:cstheme="majorHAnsi"/>
        </w:rPr>
      </w:pPr>
      <w:r>
        <w:rPr>
          <w:noProof/>
          <w:lang w:val="en-US"/>
        </w:rPr>
        <mc:AlternateContent>
          <mc:Choice Requires="wps">
            <w:drawing>
              <wp:anchor distT="45720" distB="45720" distL="114300" distR="114300" simplePos="0" relativeHeight="251673600" behindDoc="0" locked="0" layoutInCell="1" allowOverlap="1" wp14:anchorId="2C7C9E11" wp14:editId="68C1AF3F">
                <wp:simplePos x="0" y="0"/>
                <wp:positionH relativeFrom="margin">
                  <wp:posOffset>1085456</wp:posOffset>
                </wp:positionH>
                <wp:positionV relativeFrom="paragraph">
                  <wp:posOffset>2706396</wp:posOffset>
                </wp:positionV>
                <wp:extent cx="814070" cy="262189"/>
                <wp:effectExtent l="180975" t="28575" r="186055" b="146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8737">
                          <a:off x="0" y="0"/>
                          <a:ext cx="814070" cy="262189"/>
                        </a:xfrm>
                        <a:prstGeom prst="rect">
                          <a:avLst/>
                        </a:prstGeom>
                        <a:solidFill>
                          <a:schemeClr val="bg1"/>
                        </a:solidFill>
                        <a:ln w="9525">
                          <a:noFill/>
                          <a:miter lim="800000"/>
                          <a:headEnd/>
                          <a:tailEnd/>
                        </a:ln>
                      </wps:spPr>
                      <wps:txbx>
                        <w:txbxContent>
                          <w:p w14:paraId="1EE1F3FD" w14:textId="038EE0C4" w:rsidR="00376025" w:rsidRPr="00B14D18" w:rsidRDefault="00376025" w:rsidP="00B14D18">
                            <w:pPr>
                              <w:spacing w:before="0"/>
                              <w:rPr>
                                <w:rFonts w:ascii="Calibri" w:hAnsi="Calibri" w:cs="Calibri"/>
                                <w:sz w:val="10"/>
                              </w:rPr>
                            </w:pPr>
                            <w:r>
                              <w:rPr>
                                <w:rFonts w:ascii="Calibri" w:hAnsi="Calibri"/>
                                <w:sz w:val="10"/>
                              </w:rPr>
                              <w:t>Prodhimi i energjisë elektrike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C9E11" id="Text Box 25" o:spid="_x0000_s1050" type="#_x0000_t202" style="position:absolute;left:0;text-align:left;margin-left:85.45pt;margin-top:213.1pt;width:64.1pt;height:20.65pt;rotation:-4042766fd;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" fillcolor="white [3212]" stroked="f">
                <v:textbox>
                  <w:txbxContent>
                    <w:p w14:paraId="1EE1F3FD" w14:textId="038EE0C4" w:rsidR="00376025" w:rsidRPr="00B14D18" w:rsidRDefault="00376025" w:rsidP="00B14D18">
                      <w:pPr>
                        <w:spacing w:before="0"/>
                        <w:rPr>
                          <w:rFonts w:ascii="Calibri" w:hAnsi="Calibri" w:cs="Calibri"/>
                          <w:sz w:val="10"/>
                        </w:rPr>
                      </w:pPr>
                      <w:r>
                        <w:rPr>
                          <w:rFonts w:ascii="Calibri" w:hAnsi="Calibri"/>
                          <w:sz w:val="10"/>
                        </w:rPr>
                        <w:t>Prodhimi i energjisë elektrike</w:t>
                      </w:r>
                    </w:p>
                  </w:txbxContent>
                </v:textbox>
                <w10:wrap anchorx="margin"/>
              </v:shape>
            </w:pict>
          </mc:Fallback>
        </mc:AlternateContent>
      </w:r>
      <w:r w:rsidR="00B14D18">
        <w:rPr>
          <w:noProof/>
          <w:lang w:val="en-US"/>
        </w:rPr>
        <mc:AlternateContent>
          <mc:Choice Requires="wps">
            <w:drawing>
              <wp:anchor distT="45720" distB="45720" distL="114300" distR="114300" simplePos="0" relativeHeight="251692032" behindDoc="0" locked="0" layoutInCell="1" allowOverlap="1" wp14:anchorId="653D47F1" wp14:editId="5D162DD1">
                <wp:simplePos x="0" y="0"/>
                <wp:positionH relativeFrom="margin">
                  <wp:posOffset>4019053</wp:posOffset>
                </wp:positionH>
                <wp:positionV relativeFrom="paragraph">
                  <wp:posOffset>2725714</wp:posOffset>
                </wp:positionV>
                <wp:extent cx="755255" cy="201880"/>
                <wp:effectExtent l="181610" t="8890" r="169545" b="1714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8737">
                          <a:off x="0" y="0"/>
                          <a:ext cx="755255" cy="201880"/>
                        </a:xfrm>
                        <a:prstGeom prst="rect">
                          <a:avLst/>
                        </a:prstGeom>
                        <a:solidFill>
                          <a:schemeClr val="bg1"/>
                        </a:solidFill>
                        <a:ln w="9525">
                          <a:noFill/>
                          <a:miter lim="800000"/>
                          <a:headEnd/>
                          <a:tailEnd/>
                        </a:ln>
                      </wps:spPr>
                      <wps:txbx>
                        <w:txbxContent>
                          <w:p w14:paraId="3DEBB755" w14:textId="3AF858BB" w:rsidR="00376025" w:rsidRPr="00B14D18" w:rsidRDefault="00376025" w:rsidP="00B14D18">
                            <w:pPr>
                              <w:spacing w:before="0"/>
                              <w:jc w:val="right"/>
                              <w:rPr>
                                <w:rFonts w:ascii="Calibri" w:hAnsi="Calibri" w:cs="Calibri"/>
                                <w:sz w:val="10"/>
                              </w:rPr>
                            </w:pPr>
                            <w:r>
                              <w:rPr>
                                <w:rFonts w:ascii="Calibri" w:hAnsi="Calibri"/>
                                <w:sz w:val="10"/>
                              </w:rPr>
                              <w:t>PTNPTP/LULUCF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D47F1" id="Text Box 38" o:spid="_x0000_s1051" type="#_x0000_t202" style="position:absolute;left:0;text-align:left;margin-left:316.45pt;margin-top:214.6pt;width:59.45pt;height:15.9pt;rotation:-4042766fd;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" fillcolor="white [3212]" stroked="f">
                <v:textbox>
                  <w:txbxContent>
                    <w:p w14:paraId="3DEBB755" w14:textId="3AF858BB" w:rsidR="00376025" w:rsidRPr="00B14D18" w:rsidRDefault="00376025" w:rsidP="00B14D18">
                      <w:pPr>
                        <w:spacing w:before="0"/>
                        <w:jc w:val="right"/>
                        <w:rPr>
                          <w:rFonts w:ascii="Calibri" w:hAnsi="Calibri" w:cs="Calibri"/>
                          <w:sz w:val="10"/>
                        </w:rPr>
                      </w:pPr>
                      <w:r>
                        <w:rPr>
                          <w:rFonts w:ascii="Calibri" w:hAnsi="Calibri"/>
                          <w:sz w:val="10"/>
                        </w:rPr>
                        <w:t>PTNPTP/LULUCF</w:t>
                      </w:r>
                    </w:p>
                  </w:txbxContent>
                </v:textbox>
                <w10:wrap anchorx="margin"/>
              </v:shape>
            </w:pict>
          </mc:Fallback>
        </mc:AlternateContent>
      </w:r>
      <w:r w:rsidR="00B14D18">
        <w:rPr>
          <w:noProof/>
          <w:lang w:val="en-US"/>
        </w:rPr>
        <mc:AlternateContent>
          <mc:Choice Requires="wps">
            <w:drawing>
              <wp:anchor distT="45720" distB="45720" distL="114300" distR="114300" simplePos="0" relativeHeight="251689984" behindDoc="0" locked="0" layoutInCell="1" allowOverlap="1" wp14:anchorId="295E6421" wp14:editId="0866A047">
                <wp:simplePos x="0" y="0"/>
                <wp:positionH relativeFrom="margin">
                  <wp:posOffset>3681703</wp:posOffset>
                </wp:positionH>
                <wp:positionV relativeFrom="paragraph">
                  <wp:posOffset>2703139</wp:posOffset>
                </wp:positionV>
                <wp:extent cx="755255" cy="201880"/>
                <wp:effectExtent l="181610" t="8890" r="169545" b="1714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8737">
                          <a:off x="0" y="0"/>
                          <a:ext cx="755255" cy="201880"/>
                        </a:xfrm>
                        <a:prstGeom prst="rect">
                          <a:avLst/>
                        </a:prstGeom>
                        <a:solidFill>
                          <a:schemeClr val="bg1"/>
                        </a:solidFill>
                        <a:ln w="9525">
                          <a:noFill/>
                          <a:miter lim="800000"/>
                          <a:headEnd/>
                          <a:tailEnd/>
                        </a:ln>
                      </wps:spPr>
                      <wps:txbx>
                        <w:txbxContent>
                          <w:p w14:paraId="32338EBC" w14:textId="281964AB" w:rsidR="00376025" w:rsidRPr="00B14D18" w:rsidRDefault="00376025" w:rsidP="00B14D18">
                            <w:pPr>
                              <w:spacing w:before="0"/>
                              <w:jc w:val="right"/>
                              <w:rPr>
                                <w:rFonts w:ascii="Calibri" w:hAnsi="Calibri" w:cs="Calibri"/>
                                <w:sz w:val="10"/>
                              </w:rPr>
                            </w:pPr>
                            <w:r>
                              <w:rPr>
                                <w:rFonts w:ascii="Calibri" w:hAnsi="Calibri"/>
                                <w:sz w:val="10"/>
                              </w:rPr>
                              <w:t>Bujqësia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E6421" id="Text Box 37" o:spid="_x0000_s1052" type="#_x0000_t202" style="position:absolute;left:0;text-align:left;margin-left:289.9pt;margin-top:212.85pt;width:59.45pt;height:15.9pt;rotation:-4042766fd;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" fillcolor="white [3212]" stroked="f">
                <v:textbox>
                  <w:txbxContent>
                    <w:p w14:paraId="32338EBC" w14:textId="281964AB" w:rsidR="00376025" w:rsidRPr="00B14D18" w:rsidRDefault="00376025" w:rsidP="00B14D18">
                      <w:pPr>
                        <w:spacing w:before="0"/>
                        <w:jc w:val="right"/>
                        <w:rPr>
                          <w:rFonts w:ascii="Calibri" w:hAnsi="Calibri" w:cs="Calibri"/>
                          <w:sz w:val="10"/>
                        </w:rPr>
                      </w:pPr>
                      <w:r>
                        <w:rPr>
                          <w:rFonts w:ascii="Calibri" w:hAnsi="Calibri"/>
                          <w:sz w:val="10"/>
                        </w:rPr>
                        <w:t>Bujqësia</w:t>
                      </w:r>
                    </w:p>
                  </w:txbxContent>
                </v:textbox>
                <w10:wrap anchorx="margin"/>
              </v:shape>
            </w:pict>
          </mc:Fallback>
        </mc:AlternateContent>
      </w:r>
      <w:r w:rsidR="00B14D18">
        <w:rPr>
          <w:noProof/>
          <w:lang w:val="en-US"/>
        </w:rPr>
        <mc:AlternateContent>
          <mc:Choice Requires="wps">
            <w:drawing>
              <wp:anchor distT="45720" distB="45720" distL="114300" distR="114300" simplePos="0" relativeHeight="251687936" behindDoc="0" locked="0" layoutInCell="1" allowOverlap="1" wp14:anchorId="4740BC5A" wp14:editId="7B21EB01">
                <wp:simplePos x="0" y="0"/>
                <wp:positionH relativeFrom="margin">
                  <wp:posOffset>3363513</wp:posOffset>
                </wp:positionH>
                <wp:positionV relativeFrom="paragraph">
                  <wp:posOffset>2702164</wp:posOffset>
                </wp:positionV>
                <wp:extent cx="755255" cy="201880"/>
                <wp:effectExtent l="181610" t="8890" r="169545" b="171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8737">
                          <a:off x="0" y="0"/>
                          <a:ext cx="755255" cy="201880"/>
                        </a:xfrm>
                        <a:prstGeom prst="rect">
                          <a:avLst/>
                        </a:prstGeom>
                        <a:solidFill>
                          <a:schemeClr val="bg1"/>
                        </a:solidFill>
                        <a:ln w="9525">
                          <a:noFill/>
                          <a:miter lim="800000"/>
                          <a:headEnd/>
                          <a:tailEnd/>
                        </a:ln>
                      </wps:spPr>
                      <wps:txbx>
                        <w:txbxContent>
                          <w:p w14:paraId="35F66C29" w14:textId="170632B5" w:rsidR="00376025" w:rsidRPr="00B14D18" w:rsidRDefault="00376025" w:rsidP="00B14D18">
                            <w:pPr>
                              <w:spacing w:before="0"/>
                              <w:jc w:val="right"/>
                              <w:rPr>
                                <w:rFonts w:ascii="Calibri" w:hAnsi="Calibri" w:cs="Calibri"/>
                                <w:sz w:val="10"/>
                              </w:rPr>
                            </w:pPr>
                            <w:r>
                              <w:rPr>
                                <w:rFonts w:ascii="Calibri" w:hAnsi="Calibri"/>
                                <w:sz w:val="10"/>
                              </w:rPr>
                              <w:t>PIPP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0BC5A" id="Text Box 36" o:spid="_x0000_s1053" type="#_x0000_t202" style="position:absolute;left:0;text-align:left;margin-left:264.85pt;margin-top:212.75pt;width:59.45pt;height:15.9pt;rotation:-4042766fd;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" fillcolor="white [3212]" stroked="f">
                <v:textbox>
                  <w:txbxContent>
                    <w:p w14:paraId="35F66C29" w14:textId="170632B5" w:rsidR="00376025" w:rsidRPr="00B14D18" w:rsidRDefault="00376025" w:rsidP="00B14D18">
                      <w:pPr>
                        <w:spacing w:before="0"/>
                        <w:jc w:val="right"/>
                        <w:rPr>
                          <w:rFonts w:ascii="Calibri" w:hAnsi="Calibri" w:cs="Calibri"/>
                          <w:sz w:val="10"/>
                        </w:rPr>
                      </w:pPr>
                      <w:r>
                        <w:rPr>
                          <w:rFonts w:ascii="Calibri" w:hAnsi="Calibri"/>
                          <w:sz w:val="10"/>
                        </w:rPr>
                        <w:t>PIPP</w:t>
                      </w:r>
                    </w:p>
                  </w:txbxContent>
                </v:textbox>
                <w10:wrap anchorx="margin"/>
              </v:shape>
            </w:pict>
          </mc:Fallback>
        </mc:AlternateContent>
      </w:r>
      <w:r w:rsidR="00B14D18">
        <w:rPr>
          <w:noProof/>
          <w:lang w:val="en-US"/>
        </w:rPr>
        <mc:AlternateContent>
          <mc:Choice Requires="wps">
            <w:drawing>
              <wp:anchor distT="45720" distB="45720" distL="114300" distR="114300" simplePos="0" relativeHeight="251685888" behindDoc="0" locked="0" layoutInCell="1" allowOverlap="1" wp14:anchorId="10716F7B" wp14:editId="41E9302C">
                <wp:simplePos x="0" y="0"/>
                <wp:positionH relativeFrom="margin">
                  <wp:posOffset>3014012</wp:posOffset>
                </wp:positionH>
                <wp:positionV relativeFrom="paragraph">
                  <wp:posOffset>2725853</wp:posOffset>
                </wp:positionV>
                <wp:extent cx="755255" cy="201880"/>
                <wp:effectExtent l="181610" t="8890" r="169545" b="171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8737">
                          <a:off x="0" y="0"/>
                          <a:ext cx="755255" cy="201880"/>
                        </a:xfrm>
                        <a:prstGeom prst="rect">
                          <a:avLst/>
                        </a:prstGeom>
                        <a:solidFill>
                          <a:schemeClr val="bg1"/>
                        </a:solidFill>
                        <a:ln w="9525">
                          <a:noFill/>
                          <a:miter lim="800000"/>
                          <a:headEnd/>
                          <a:tailEnd/>
                        </a:ln>
                      </wps:spPr>
                      <wps:txbx>
                        <w:txbxContent>
                          <w:p w14:paraId="2913BBB0" w14:textId="239304C5" w:rsidR="00376025" w:rsidRPr="00B14D18" w:rsidRDefault="00376025" w:rsidP="00B14D18">
                            <w:pPr>
                              <w:spacing w:before="0"/>
                              <w:jc w:val="right"/>
                              <w:rPr>
                                <w:rFonts w:ascii="Calibri" w:hAnsi="Calibri" w:cs="Calibri"/>
                                <w:sz w:val="10"/>
                              </w:rPr>
                            </w:pPr>
                            <w:r>
                              <w:rPr>
                                <w:rFonts w:ascii="Calibri" w:hAnsi="Calibri"/>
                                <w:sz w:val="10"/>
                              </w:rPr>
                              <w:t>Peshkimi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16F7B" id="Text Box 35" o:spid="_x0000_s1054" type="#_x0000_t202" style="position:absolute;left:0;text-align:left;margin-left:237.3pt;margin-top:214.65pt;width:59.45pt;height:15.9pt;rotation:-4042766fd;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" fillcolor="white [3212]" stroked="f">
                <v:textbox>
                  <w:txbxContent>
                    <w:p w14:paraId="2913BBB0" w14:textId="239304C5" w:rsidR="00376025" w:rsidRPr="00B14D18" w:rsidRDefault="00376025" w:rsidP="00B14D18">
                      <w:pPr>
                        <w:spacing w:before="0"/>
                        <w:jc w:val="right"/>
                        <w:rPr>
                          <w:rFonts w:ascii="Calibri" w:hAnsi="Calibri" w:cs="Calibri"/>
                          <w:sz w:val="10"/>
                        </w:rPr>
                      </w:pPr>
                      <w:r>
                        <w:rPr>
                          <w:rFonts w:ascii="Calibri" w:hAnsi="Calibri"/>
                          <w:sz w:val="10"/>
                        </w:rPr>
                        <w:t>Peshkimi</w:t>
                      </w:r>
                    </w:p>
                  </w:txbxContent>
                </v:textbox>
                <w10:wrap anchorx="margin"/>
              </v:shape>
            </w:pict>
          </mc:Fallback>
        </mc:AlternateContent>
      </w:r>
      <w:r w:rsidR="00B14D18">
        <w:rPr>
          <w:noProof/>
          <w:lang w:val="en-US"/>
        </w:rPr>
        <mc:AlternateContent>
          <mc:Choice Requires="wps">
            <w:drawing>
              <wp:anchor distT="45720" distB="45720" distL="114300" distR="114300" simplePos="0" relativeHeight="251683840" behindDoc="0" locked="0" layoutInCell="1" allowOverlap="1" wp14:anchorId="631E706F" wp14:editId="0D7805E1">
                <wp:simplePos x="0" y="0"/>
                <wp:positionH relativeFrom="margin">
                  <wp:posOffset>2695548</wp:posOffset>
                </wp:positionH>
                <wp:positionV relativeFrom="paragraph">
                  <wp:posOffset>2710706</wp:posOffset>
                </wp:positionV>
                <wp:extent cx="755255" cy="201880"/>
                <wp:effectExtent l="181610" t="8890" r="169545" b="1714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8737">
                          <a:off x="0" y="0"/>
                          <a:ext cx="755255" cy="201880"/>
                        </a:xfrm>
                        <a:prstGeom prst="rect">
                          <a:avLst/>
                        </a:prstGeom>
                        <a:solidFill>
                          <a:schemeClr val="bg1"/>
                        </a:solidFill>
                        <a:ln w="9525">
                          <a:noFill/>
                          <a:miter lim="800000"/>
                          <a:headEnd/>
                          <a:tailEnd/>
                        </a:ln>
                      </wps:spPr>
                      <wps:txbx>
                        <w:txbxContent>
                          <w:p w14:paraId="239C3A16" w14:textId="4C672435" w:rsidR="00376025" w:rsidRPr="00B14D18" w:rsidRDefault="00376025" w:rsidP="00B14D18">
                            <w:pPr>
                              <w:spacing w:before="0"/>
                              <w:jc w:val="right"/>
                              <w:rPr>
                                <w:rFonts w:ascii="Calibri" w:hAnsi="Calibri" w:cs="Calibri"/>
                                <w:sz w:val="10"/>
                              </w:rPr>
                            </w:pPr>
                            <w:r>
                              <w:rPr>
                                <w:rFonts w:ascii="Calibri" w:hAnsi="Calibri"/>
                                <w:sz w:val="10"/>
                              </w:rPr>
                              <w:t xml:space="preserve">Bujqësia </w:t>
                            </w:r>
                            <w:r>
                              <w:rPr>
                                <w:rFonts w:ascii="Calibri" w:hAnsi="Calibri"/>
                                <w:sz w:val="10"/>
                              </w:rPr>
                              <w:t>Pyjet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706F" id="Text Box 34" o:spid="_x0000_s1055" type="#_x0000_t202" style="position:absolute;left:0;text-align:left;margin-left:212.25pt;margin-top:213.45pt;width:59.45pt;height:15.9pt;rotation:-4042766fd;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" fillcolor="white [3212]" stroked="f">
                <v:textbox>
                  <w:txbxContent>
                    <w:p w14:paraId="239C3A16" w14:textId="4C672435" w:rsidR="00376025" w:rsidRPr="00B14D18" w:rsidRDefault="00376025" w:rsidP="00B14D18">
                      <w:pPr>
                        <w:spacing w:before="0"/>
                        <w:jc w:val="right"/>
                        <w:rPr>
                          <w:rFonts w:ascii="Calibri" w:hAnsi="Calibri" w:cs="Calibri"/>
                          <w:sz w:val="10"/>
                        </w:rPr>
                      </w:pPr>
                      <w:r>
                        <w:rPr>
                          <w:rFonts w:ascii="Calibri" w:hAnsi="Calibri"/>
                          <w:sz w:val="10"/>
                        </w:rPr>
                        <w:t xml:space="preserve">Bujqësia </w:t>
                      </w:r>
                      <w:r>
                        <w:rPr>
                          <w:rFonts w:ascii="Calibri" w:hAnsi="Calibri"/>
                          <w:sz w:val="10"/>
                        </w:rPr>
                        <w:t>Pyjet</w:t>
                      </w:r>
                    </w:p>
                  </w:txbxContent>
                </v:textbox>
                <w10:wrap anchorx="margin"/>
              </v:shape>
            </w:pict>
          </mc:Fallback>
        </mc:AlternateContent>
      </w:r>
      <w:r w:rsidR="00B14D18">
        <w:rPr>
          <w:noProof/>
          <w:lang w:val="en-US"/>
        </w:rPr>
        <mc:AlternateContent>
          <mc:Choice Requires="wps">
            <w:drawing>
              <wp:anchor distT="45720" distB="45720" distL="114300" distR="114300" simplePos="0" relativeHeight="251681792" behindDoc="0" locked="0" layoutInCell="1" allowOverlap="1" wp14:anchorId="2E20C3CA" wp14:editId="48A47199">
                <wp:simplePos x="0" y="0"/>
                <wp:positionH relativeFrom="margin">
                  <wp:posOffset>2407644</wp:posOffset>
                </wp:positionH>
                <wp:positionV relativeFrom="paragraph">
                  <wp:posOffset>2707521</wp:posOffset>
                </wp:positionV>
                <wp:extent cx="755255" cy="201880"/>
                <wp:effectExtent l="181610" t="8890" r="169545" b="171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8737">
                          <a:off x="0" y="0"/>
                          <a:ext cx="755255" cy="201880"/>
                        </a:xfrm>
                        <a:prstGeom prst="rect">
                          <a:avLst/>
                        </a:prstGeom>
                        <a:solidFill>
                          <a:schemeClr val="bg1"/>
                        </a:solidFill>
                        <a:ln w="9525">
                          <a:noFill/>
                          <a:miter lim="800000"/>
                          <a:headEnd/>
                          <a:tailEnd/>
                        </a:ln>
                      </wps:spPr>
                      <wps:txbx>
                        <w:txbxContent>
                          <w:p w14:paraId="4877972C" w14:textId="7F0F0367" w:rsidR="00376025" w:rsidRPr="00B14D18" w:rsidRDefault="00376025" w:rsidP="00B14D18">
                            <w:pPr>
                              <w:spacing w:before="0"/>
                              <w:jc w:val="right"/>
                              <w:rPr>
                                <w:rFonts w:ascii="Calibri" w:hAnsi="Calibri" w:cs="Calibri"/>
                                <w:sz w:val="10"/>
                              </w:rPr>
                            </w:pPr>
                            <w:r>
                              <w:rPr>
                                <w:rFonts w:ascii="Calibri" w:hAnsi="Calibri"/>
                                <w:sz w:val="10"/>
                              </w:rPr>
                              <w:t>Transporti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0C3CA" id="Text Box 33" o:spid="_x0000_s1056" type="#_x0000_t202" style="position:absolute;left:0;text-align:left;margin-left:189.6pt;margin-top:213.2pt;width:59.45pt;height:15.9pt;rotation:-4042766fd;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" fillcolor="white [3212]" stroked="f">
                <v:textbox>
                  <w:txbxContent>
                    <w:p w14:paraId="4877972C" w14:textId="7F0F0367" w:rsidR="00376025" w:rsidRPr="00B14D18" w:rsidRDefault="00376025" w:rsidP="00B14D18">
                      <w:pPr>
                        <w:spacing w:before="0"/>
                        <w:jc w:val="right"/>
                        <w:rPr>
                          <w:rFonts w:ascii="Calibri" w:hAnsi="Calibri" w:cs="Calibri"/>
                          <w:sz w:val="10"/>
                        </w:rPr>
                      </w:pPr>
                      <w:r>
                        <w:rPr>
                          <w:rFonts w:ascii="Calibri" w:hAnsi="Calibri"/>
                          <w:sz w:val="10"/>
                        </w:rPr>
                        <w:t>Transporti</w:t>
                      </w:r>
                    </w:p>
                  </w:txbxContent>
                </v:textbox>
                <w10:wrap anchorx="margin"/>
              </v:shape>
            </w:pict>
          </mc:Fallback>
        </mc:AlternateContent>
      </w:r>
      <w:r w:rsidR="00B14D18">
        <w:rPr>
          <w:noProof/>
          <w:lang w:val="en-US"/>
        </w:rPr>
        <mc:AlternateContent>
          <mc:Choice Requires="wps">
            <w:drawing>
              <wp:anchor distT="45720" distB="45720" distL="114300" distR="114300" simplePos="0" relativeHeight="251679744" behindDoc="0" locked="0" layoutInCell="1" allowOverlap="1" wp14:anchorId="153D54B3" wp14:editId="1D8355C0">
                <wp:simplePos x="0" y="0"/>
                <wp:positionH relativeFrom="margin">
                  <wp:posOffset>2028384</wp:posOffset>
                </wp:positionH>
                <wp:positionV relativeFrom="paragraph">
                  <wp:posOffset>2757997</wp:posOffset>
                </wp:positionV>
                <wp:extent cx="814316" cy="176722"/>
                <wp:effectExtent l="166370" t="5080" r="19050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8737">
                          <a:off x="0" y="0"/>
                          <a:ext cx="814316" cy="176722"/>
                        </a:xfrm>
                        <a:prstGeom prst="rect">
                          <a:avLst/>
                        </a:prstGeom>
                        <a:solidFill>
                          <a:schemeClr val="bg1"/>
                        </a:solidFill>
                        <a:ln w="9525">
                          <a:noFill/>
                          <a:miter lim="800000"/>
                          <a:headEnd/>
                          <a:tailEnd/>
                        </a:ln>
                      </wps:spPr>
                      <wps:txbx>
                        <w:txbxContent>
                          <w:p w14:paraId="0A0F2F47" w14:textId="5F267794" w:rsidR="00376025" w:rsidRPr="00B14D18" w:rsidRDefault="00376025" w:rsidP="00B14D18">
                            <w:pPr>
                              <w:spacing w:before="0"/>
                              <w:jc w:val="right"/>
                              <w:rPr>
                                <w:rFonts w:ascii="Calibri" w:hAnsi="Calibri" w:cs="Calibri"/>
                                <w:sz w:val="10"/>
                              </w:rPr>
                            </w:pPr>
                            <w:r>
                              <w:rPr>
                                <w:rFonts w:ascii="Calibri" w:hAnsi="Calibri"/>
                                <w:sz w:val="10"/>
                              </w:rPr>
                              <w:t>Industria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D54B3" id="Text Box 32" o:spid="_x0000_s1057" type="#_x0000_t202" style="position:absolute;left:0;text-align:left;margin-left:159.7pt;margin-top:217.15pt;width:64.1pt;height:13.9pt;rotation:-4042766fd;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" fillcolor="white [3212]" stroked="f">
                <v:textbox>
                  <w:txbxContent>
                    <w:p w14:paraId="0A0F2F47" w14:textId="5F267794" w:rsidR="00376025" w:rsidRPr="00B14D18" w:rsidRDefault="00376025" w:rsidP="00B14D18">
                      <w:pPr>
                        <w:spacing w:before="0"/>
                        <w:jc w:val="right"/>
                        <w:rPr>
                          <w:rFonts w:ascii="Calibri" w:hAnsi="Calibri" w:cs="Calibri"/>
                          <w:sz w:val="10"/>
                        </w:rPr>
                      </w:pPr>
                      <w:r>
                        <w:rPr>
                          <w:rFonts w:ascii="Calibri" w:hAnsi="Calibri"/>
                          <w:sz w:val="10"/>
                        </w:rPr>
                        <w:t>Industria</w:t>
                      </w:r>
                    </w:p>
                  </w:txbxContent>
                </v:textbox>
                <w10:wrap anchorx="margin"/>
              </v:shape>
            </w:pict>
          </mc:Fallback>
        </mc:AlternateContent>
      </w:r>
      <w:r w:rsidR="00B14D18">
        <w:rPr>
          <w:noProof/>
          <w:lang w:val="en-US"/>
        </w:rPr>
        <mc:AlternateContent>
          <mc:Choice Requires="wps">
            <w:drawing>
              <wp:anchor distT="45720" distB="45720" distL="114300" distR="114300" simplePos="0" relativeHeight="251677696" behindDoc="0" locked="0" layoutInCell="1" allowOverlap="1" wp14:anchorId="7EF04070" wp14:editId="711D1022">
                <wp:simplePos x="0" y="0"/>
                <wp:positionH relativeFrom="margin">
                  <wp:posOffset>1709945</wp:posOffset>
                </wp:positionH>
                <wp:positionV relativeFrom="paragraph">
                  <wp:posOffset>2768472</wp:posOffset>
                </wp:positionV>
                <wp:extent cx="814316" cy="176722"/>
                <wp:effectExtent l="166370" t="5080" r="19050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8737">
                          <a:off x="0" y="0"/>
                          <a:ext cx="814316" cy="176722"/>
                        </a:xfrm>
                        <a:prstGeom prst="rect">
                          <a:avLst/>
                        </a:prstGeom>
                        <a:solidFill>
                          <a:schemeClr val="bg1"/>
                        </a:solidFill>
                        <a:ln w="9525">
                          <a:noFill/>
                          <a:miter lim="800000"/>
                          <a:headEnd/>
                          <a:tailEnd/>
                        </a:ln>
                      </wps:spPr>
                      <wps:txbx>
                        <w:txbxContent>
                          <w:p w14:paraId="5B854B3F" w14:textId="63E21057" w:rsidR="00376025" w:rsidRPr="00B14D18" w:rsidRDefault="00376025" w:rsidP="00B14D18">
                            <w:pPr>
                              <w:spacing w:before="0"/>
                              <w:jc w:val="right"/>
                              <w:rPr>
                                <w:rFonts w:ascii="Calibri" w:hAnsi="Calibri" w:cs="Calibri"/>
                                <w:sz w:val="10"/>
                              </w:rPr>
                            </w:pPr>
                            <w:r>
                              <w:rPr>
                                <w:rFonts w:ascii="Calibri" w:hAnsi="Calibri"/>
                                <w:sz w:val="10"/>
                              </w:rPr>
                              <w:t>Shërbimet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04070" id="Text Box 31" o:spid="_x0000_s1058" type="#_x0000_t202" style="position:absolute;left:0;text-align:left;margin-left:134.65pt;margin-top:218pt;width:64.1pt;height:13.9pt;rotation:-4042766fd;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" fillcolor="white [3212]" stroked="f">
                <v:textbox>
                  <w:txbxContent>
                    <w:p w14:paraId="5B854B3F" w14:textId="63E21057" w:rsidR="00376025" w:rsidRPr="00B14D18" w:rsidRDefault="00376025" w:rsidP="00B14D18">
                      <w:pPr>
                        <w:spacing w:before="0"/>
                        <w:jc w:val="right"/>
                        <w:rPr>
                          <w:rFonts w:ascii="Calibri" w:hAnsi="Calibri" w:cs="Calibri"/>
                          <w:sz w:val="10"/>
                        </w:rPr>
                      </w:pPr>
                      <w:r>
                        <w:rPr>
                          <w:rFonts w:ascii="Calibri" w:hAnsi="Calibri"/>
                          <w:sz w:val="10"/>
                        </w:rPr>
                        <w:t>Shërbimet</w:t>
                      </w:r>
                    </w:p>
                  </w:txbxContent>
                </v:textbox>
                <w10:wrap anchorx="margin"/>
              </v:shape>
            </w:pict>
          </mc:Fallback>
        </mc:AlternateContent>
      </w:r>
      <w:r w:rsidR="00B14D18">
        <w:rPr>
          <w:noProof/>
          <w:lang w:val="en-US"/>
        </w:rPr>
        <mc:AlternateContent>
          <mc:Choice Requires="wps">
            <w:drawing>
              <wp:anchor distT="45720" distB="45720" distL="114300" distR="114300" simplePos="0" relativeHeight="251675648" behindDoc="0" locked="0" layoutInCell="1" allowOverlap="1" wp14:anchorId="04CDE9D8" wp14:editId="10AA348B">
                <wp:simplePos x="0" y="0"/>
                <wp:positionH relativeFrom="margin">
                  <wp:posOffset>1400120</wp:posOffset>
                </wp:positionH>
                <wp:positionV relativeFrom="paragraph">
                  <wp:posOffset>2742317</wp:posOffset>
                </wp:positionV>
                <wp:extent cx="814316" cy="176722"/>
                <wp:effectExtent l="166370" t="5080" r="19050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8737">
                          <a:off x="0" y="0"/>
                          <a:ext cx="814316" cy="176722"/>
                        </a:xfrm>
                        <a:prstGeom prst="rect">
                          <a:avLst/>
                        </a:prstGeom>
                        <a:solidFill>
                          <a:schemeClr val="bg1"/>
                        </a:solidFill>
                        <a:ln w="9525">
                          <a:noFill/>
                          <a:miter lim="800000"/>
                          <a:headEnd/>
                          <a:tailEnd/>
                        </a:ln>
                      </wps:spPr>
                      <wps:txbx>
                        <w:txbxContent>
                          <w:p w14:paraId="448A390D" w14:textId="5F27510C" w:rsidR="00376025" w:rsidRPr="00B14D18" w:rsidRDefault="00376025" w:rsidP="00B14D18">
                            <w:pPr>
                              <w:spacing w:before="0"/>
                              <w:jc w:val="right"/>
                              <w:rPr>
                                <w:rFonts w:ascii="Calibri" w:hAnsi="Calibri" w:cs="Calibri"/>
                                <w:sz w:val="10"/>
                              </w:rPr>
                            </w:pPr>
                            <w:r>
                              <w:rPr>
                                <w:rFonts w:ascii="Calibri" w:hAnsi="Calibri"/>
                                <w:sz w:val="10"/>
                              </w:rPr>
                              <w:t>Sektori i banesave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DE9D8" id="Text Box 30" o:spid="_x0000_s1059" type="#_x0000_t202" style="position:absolute;left:0;text-align:left;margin-left:110.25pt;margin-top:215.95pt;width:64.1pt;height:13.9pt;rotation:-4042766fd;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" fillcolor="white [3212]" stroked="f">
                <v:textbox>
                  <w:txbxContent>
                    <w:p w14:paraId="448A390D" w14:textId="5F27510C" w:rsidR="00376025" w:rsidRPr="00B14D18" w:rsidRDefault="00376025" w:rsidP="00B14D18">
                      <w:pPr>
                        <w:spacing w:before="0"/>
                        <w:jc w:val="right"/>
                        <w:rPr>
                          <w:rFonts w:ascii="Calibri" w:hAnsi="Calibri" w:cs="Calibri"/>
                          <w:sz w:val="10"/>
                        </w:rPr>
                      </w:pPr>
                      <w:r>
                        <w:rPr>
                          <w:rFonts w:ascii="Calibri" w:hAnsi="Calibri"/>
                          <w:sz w:val="10"/>
                        </w:rPr>
                        <w:t>Sektori i banesave</w:t>
                      </w:r>
                    </w:p>
                  </w:txbxContent>
                </v:textbox>
                <w10:wrap anchorx="margin"/>
              </v:shape>
            </w:pict>
          </mc:Fallback>
        </mc:AlternateContent>
      </w:r>
      <w:r w:rsidR="00B14D18">
        <w:rPr>
          <w:noProof/>
          <w:lang w:val="en-US"/>
        </w:rPr>
        <w:drawing>
          <wp:inline distT="0" distB="0" distL="0" distR="0" wp14:anchorId="34C64261" wp14:editId="7054A981">
            <wp:extent cx="3619500" cy="3242066"/>
            <wp:effectExtent l="19050" t="19050" r="19050" b="15875"/>
            <wp:docPr id="633741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8007" cy="3249686"/>
                    </a:xfrm>
                    <a:prstGeom prst="rect">
                      <a:avLst/>
                    </a:prstGeom>
                    <a:noFill/>
                    <a:ln w="3175">
                      <a:solidFill>
                        <a:schemeClr val="tx1"/>
                      </a:solidFill>
                    </a:ln>
                  </pic:spPr>
                </pic:pic>
              </a:graphicData>
            </a:graphic>
          </wp:inline>
        </w:drawing>
      </w:r>
    </w:p>
    <w:p w14:paraId="34C63E06" w14:textId="13FC199F" w:rsidR="00405526" w:rsidRPr="00420F06" w:rsidRDefault="00405526" w:rsidP="00405526">
      <w:pPr>
        <w:pStyle w:val="Caption"/>
        <w:rPr>
          <w:rFonts w:cstheme="majorHAnsi"/>
        </w:rPr>
      </w:pPr>
      <w:bookmarkStart w:id="31" w:name="_Ref211287614"/>
      <w:bookmarkStart w:id="32" w:name="_Toc216778900"/>
      <w:r>
        <w:t xml:space="preserve">Figura </w:t>
      </w:r>
      <w:r w:rsidR="00387652" w:rsidRPr="00420F06">
        <w:rPr>
          <w:rFonts w:cstheme="majorHAnsi"/>
        </w:rPr>
        <w:fldChar w:fldCharType="begin"/>
      </w:r>
      <w:r w:rsidRPr="00420F06">
        <w:rPr>
          <w:rFonts w:cstheme="majorHAnsi"/>
        </w:rPr>
        <w:instrText xml:space="preserve"> SEQ Figure \* ARABIC </w:instrText>
      </w:r>
      <w:r w:rsidR="00387652" w:rsidRPr="00420F06">
        <w:rPr>
          <w:rFonts w:cstheme="majorHAnsi"/>
        </w:rPr>
        <w:fldChar w:fldCharType="separate"/>
      </w:r>
      <w:r w:rsidR="00D0533E">
        <w:rPr>
          <w:rFonts w:cstheme="majorHAnsi"/>
          <w:noProof/>
        </w:rPr>
        <w:t>5</w:t>
      </w:r>
      <w:r w:rsidR="00387652" w:rsidRPr="00420F06">
        <w:rPr>
          <w:rFonts w:cstheme="majorHAnsi"/>
        </w:rPr>
        <w:fldChar w:fldCharType="end"/>
      </w:r>
      <w:bookmarkEnd w:id="31"/>
      <w:r>
        <w:t>: Alokimi sektorial i reduktimeve të projektuara të shkarkimeve nga politikat dhe masat shtesë të planifikuara</w:t>
      </w:r>
      <w:bookmarkEnd w:id="32"/>
    </w:p>
    <w:p w14:paraId="34C63E08" w14:textId="02B785C3" w:rsidR="00340775" w:rsidRPr="00376025" w:rsidRDefault="00340775" w:rsidP="00213150">
      <w:pPr>
        <w:pStyle w:val="BodyText"/>
        <w:jc w:val="both"/>
        <w:rPr>
          <w:rFonts w:asciiTheme="majorHAnsi" w:hAnsiTheme="majorHAnsi" w:cstheme="majorHAnsi"/>
        </w:rPr>
      </w:pPr>
    </w:p>
    <w:p w14:paraId="31CB2E7F" w14:textId="77777777" w:rsidR="00DD11E1" w:rsidRDefault="00DD11E1" w:rsidP="00DD11E1">
      <w:pPr>
        <w:pStyle w:val="Caption"/>
        <w:jc w:val="left"/>
        <w:rPr>
          <w:rFonts w:cstheme="majorHAnsi"/>
        </w:rPr>
      </w:pPr>
      <w:bookmarkStart w:id="33" w:name="_Ref204966480"/>
    </w:p>
    <w:p w14:paraId="34C63E0A" w14:textId="42E3A203" w:rsidR="00910A76" w:rsidRPr="00192EE9" w:rsidRDefault="00192EE9" w:rsidP="00DD11E1">
      <w:pPr>
        <w:pStyle w:val="Caption"/>
        <w:jc w:val="left"/>
        <w:rPr>
          <w:rFonts w:cstheme="majorHAnsi"/>
        </w:rPr>
      </w:pPr>
      <w:bookmarkStart w:id="34" w:name="_Toc216778887"/>
      <w:r>
        <w:t xml:space="preserve">Tabela </w:t>
      </w:r>
      <w:r w:rsidR="00387652" w:rsidRPr="00420F06">
        <w:rPr>
          <w:rFonts w:cstheme="majorHAnsi"/>
        </w:rPr>
        <w:fldChar w:fldCharType="begin"/>
      </w:r>
      <w:r w:rsidRPr="00420F06">
        <w:rPr>
          <w:rFonts w:cstheme="majorHAnsi"/>
        </w:rPr>
        <w:instrText xml:space="preserve"> SEQ Table \* ARABIC </w:instrText>
      </w:r>
      <w:r w:rsidR="00387652" w:rsidRPr="00420F06">
        <w:rPr>
          <w:rFonts w:cstheme="majorHAnsi"/>
        </w:rPr>
        <w:fldChar w:fldCharType="separate"/>
      </w:r>
      <w:r w:rsidR="00D0533E">
        <w:rPr>
          <w:rFonts w:cstheme="majorHAnsi"/>
          <w:noProof/>
        </w:rPr>
        <w:t>4</w:t>
      </w:r>
      <w:r w:rsidR="00387652" w:rsidRPr="00420F06">
        <w:rPr>
          <w:rFonts w:cstheme="majorHAnsi"/>
        </w:rPr>
        <w:fldChar w:fldCharType="end"/>
      </w:r>
      <w:bookmarkEnd w:id="33"/>
      <w:r>
        <w:t>: Përmbledhje e veprimeve kryesore për zbutjen</w:t>
      </w:r>
      <w:bookmarkEnd w:id="34"/>
    </w:p>
    <w:tbl>
      <w:tblPr>
        <w:tblStyle w:val="TableGrid0"/>
        <w:tblW w:w="5000" w:type="pct"/>
        <w:tblInd w:w="0" w:type="dxa"/>
        <w:tblCellMar>
          <w:top w:w="44" w:type="dxa"/>
          <w:left w:w="108" w:type="dxa"/>
          <w:right w:w="65" w:type="dxa"/>
        </w:tblCellMar>
        <w:tblLook w:val="04A0" w:firstRow="1" w:lastRow="0" w:firstColumn="1" w:lastColumn="0" w:noHBand="0" w:noVBand="1"/>
      </w:tblPr>
      <w:tblGrid>
        <w:gridCol w:w="479"/>
        <w:gridCol w:w="691"/>
        <w:gridCol w:w="2575"/>
        <w:gridCol w:w="1352"/>
        <w:gridCol w:w="3184"/>
        <w:gridCol w:w="1069"/>
      </w:tblGrid>
      <w:tr w:rsidR="009D56D9" w:rsidRPr="00CE59C6" w14:paraId="34C63E11" w14:textId="77777777" w:rsidTr="00852E36">
        <w:trPr>
          <w:trHeight w:val="558"/>
          <w:tblHeader/>
        </w:trPr>
        <w:tc>
          <w:tcPr>
            <w:tcW w:w="260" w:type="pct"/>
            <w:tcBorders>
              <w:top w:val="single" w:sz="4" w:space="0" w:color="000000"/>
              <w:left w:val="single" w:sz="4" w:space="0" w:color="000000"/>
              <w:bottom w:val="single" w:sz="4" w:space="0" w:color="000000"/>
              <w:right w:val="single" w:sz="4" w:space="0" w:color="000000"/>
            </w:tcBorders>
            <w:vAlign w:val="center"/>
          </w:tcPr>
          <w:p w14:paraId="34C63E0B" w14:textId="77777777" w:rsidR="009D56D9" w:rsidRPr="00CE59C6" w:rsidRDefault="009D56D9" w:rsidP="00C32325">
            <w:pPr>
              <w:spacing w:line="259" w:lineRule="auto"/>
              <w:ind w:left="47"/>
              <w:jc w:val="center"/>
              <w:rPr>
                <w:rFonts w:asciiTheme="majorHAnsi" w:hAnsiTheme="majorHAnsi" w:cstheme="majorHAnsi"/>
                <w:sz w:val="20"/>
                <w:szCs w:val="20"/>
              </w:rPr>
            </w:pPr>
            <w:r>
              <w:rPr>
                <w:rFonts w:asciiTheme="majorHAnsi" w:hAnsiTheme="majorHAnsi"/>
                <w:b/>
                <w:sz w:val="20"/>
                <w:szCs w:val="20"/>
              </w:rPr>
              <w:t>Nr.</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0C" w14:textId="77777777" w:rsidR="009D56D9" w:rsidRPr="00CE59C6" w:rsidRDefault="009D56D9" w:rsidP="00C32325">
            <w:pPr>
              <w:spacing w:line="259" w:lineRule="auto"/>
              <w:ind w:right="16"/>
              <w:jc w:val="center"/>
              <w:rPr>
                <w:rFonts w:asciiTheme="majorHAnsi" w:hAnsiTheme="majorHAnsi" w:cstheme="majorHAnsi"/>
                <w:sz w:val="20"/>
                <w:szCs w:val="20"/>
              </w:rPr>
            </w:pPr>
            <w:r>
              <w:rPr>
                <w:rFonts w:asciiTheme="majorHAnsi" w:hAnsiTheme="majorHAnsi"/>
                <w:b/>
                <w:sz w:val="20"/>
                <w:szCs w:val="20"/>
              </w:rPr>
              <w:t>Kodi i PM-ve</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0D" w14:textId="77777777" w:rsidR="009D56D9" w:rsidRPr="00CE59C6" w:rsidRDefault="009D56D9" w:rsidP="00C32325">
            <w:pPr>
              <w:spacing w:line="259" w:lineRule="auto"/>
              <w:ind w:left="2"/>
              <w:jc w:val="center"/>
              <w:rPr>
                <w:rFonts w:asciiTheme="majorHAnsi" w:hAnsiTheme="majorHAnsi" w:cstheme="majorHAnsi"/>
                <w:sz w:val="20"/>
                <w:szCs w:val="20"/>
              </w:rPr>
            </w:pPr>
            <w:r>
              <w:rPr>
                <w:rFonts w:asciiTheme="majorHAnsi" w:hAnsiTheme="majorHAnsi"/>
                <w:b/>
                <w:sz w:val="20"/>
                <w:szCs w:val="20"/>
              </w:rPr>
              <w:t>Emri i PM-ve</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E0E" w14:textId="77777777" w:rsidR="009D56D9" w:rsidRPr="00CE59C6" w:rsidRDefault="009D56D9" w:rsidP="00C32325">
            <w:pPr>
              <w:spacing w:line="259" w:lineRule="auto"/>
              <w:ind w:left="2"/>
              <w:jc w:val="center"/>
              <w:rPr>
                <w:rFonts w:asciiTheme="majorHAnsi" w:hAnsiTheme="majorHAnsi" w:cstheme="majorHAnsi"/>
                <w:sz w:val="20"/>
                <w:szCs w:val="20"/>
              </w:rPr>
            </w:pPr>
            <w:r>
              <w:rPr>
                <w:rFonts w:asciiTheme="majorHAnsi" w:hAnsiTheme="majorHAnsi"/>
                <w:b/>
                <w:sz w:val="20"/>
                <w:szCs w:val="20"/>
              </w:rPr>
              <w:t>Lloji i PM-ve</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0F" w14:textId="77777777" w:rsidR="009D56D9" w:rsidRPr="00CE59C6" w:rsidRDefault="009D56D9" w:rsidP="009D56D9">
            <w:pPr>
              <w:spacing w:after="2" w:line="237" w:lineRule="auto"/>
              <w:jc w:val="center"/>
              <w:rPr>
                <w:rFonts w:asciiTheme="majorHAnsi" w:hAnsiTheme="majorHAnsi" w:cstheme="majorHAnsi"/>
                <w:b/>
                <w:sz w:val="20"/>
                <w:szCs w:val="20"/>
              </w:rPr>
            </w:pPr>
            <w:r>
              <w:rPr>
                <w:rFonts w:asciiTheme="majorHAnsi" w:hAnsiTheme="majorHAnsi"/>
                <w:b/>
                <w:sz w:val="20"/>
                <w:szCs w:val="20"/>
              </w:rPr>
              <w:t>Investime financiare</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10" w14:textId="3BCEE4C1" w:rsidR="009D56D9" w:rsidRPr="00CE59C6" w:rsidRDefault="009D56D9" w:rsidP="009D56D9">
            <w:pPr>
              <w:spacing w:after="2" w:line="237" w:lineRule="auto"/>
              <w:jc w:val="center"/>
              <w:rPr>
                <w:rFonts w:asciiTheme="majorHAnsi" w:hAnsiTheme="majorHAnsi" w:cstheme="majorHAnsi"/>
                <w:sz w:val="20"/>
                <w:szCs w:val="20"/>
              </w:rPr>
            </w:pPr>
            <w:r>
              <w:rPr>
                <w:rFonts w:asciiTheme="majorHAnsi" w:hAnsiTheme="majorHAnsi"/>
                <w:b/>
                <w:sz w:val="20"/>
                <w:szCs w:val="20"/>
              </w:rPr>
              <w:t>Alokuar sipas skenarit</w:t>
            </w:r>
          </w:p>
        </w:tc>
      </w:tr>
      <w:tr w:rsidR="009D56D9" w:rsidRPr="00CE59C6" w14:paraId="34C63E19" w14:textId="77777777" w:rsidTr="00852E36">
        <w:trPr>
          <w:trHeight w:val="299"/>
        </w:trPr>
        <w:tc>
          <w:tcPr>
            <w:tcW w:w="260" w:type="pct"/>
            <w:tcBorders>
              <w:top w:val="single" w:sz="4" w:space="0" w:color="000000"/>
              <w:left w:val="single" w:sz="4" w:space="0" w:color="000000"/>
              <w:bottom w:val="single" w:sz="4" w:space="0" w:color="000000"/>
              <w:right w:val="single" w:sz="4" w:space="0" w:color="000000"/>
            </w:tcBorders>
          </w:tcPr>
          <w:p w14:paraId="34C63E12" w14:textId="77777777" w:rsidR="009D56D9" w:rsidRPr="00CE59C6" w:rsidRDefault="009D56D9" w:rsidP="00CE45B5">
            <w:pPr>
              <w:spacing w:line="259" w:lineRule="auto"/>
              <w:ind w:right="47"/>
              <w:jc w:val="center"/>
              <w:rPr>
                <w:rFonts w:asciiTheme="majorHAnsi" w:hAnsiTheme="majorHAnsi" w:cstheme="majorHAnsi"/>
                <w:sz w:val="20"/>
                <w:szCs w:val="20"/>
              </w:rPr>
            </w:pPr>
            <w:r>
              <w:rPr>
                <w:rFonts w:asciiTheme="majorHAnsi" w:hAnsiTheme="majorHAnsi"/>
                <w:sz w:val="20"/>
                <w:szCs w:val="20"/>
              </w:rPr>
              <w:t xml:space="preserve">1 </w:t>
            </w:r>
          </w:p>
        </w:tc>
        <w:tc>
          <w:tcPr>
            <w:tcW w:w="373" w:type="pct"/>
            <w:tcBorders>
              <w:top w:val="single" w:sz="4" w:space="0" w:color="000000"/>
              <w:left w:val="single" w:sz="4" w:space="0" w:color="000000"/>
              <w:bottom w:val="single" w:sz="4" w:space="0" w:color="000000"/>
              <w:right w:val="single" w:sz="4" w:space="0" w:color="000000"/>
            </w:tcBorders>
          </w:tcPr>
          <w:p w14:paraId="34C63E13"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G-T1 </w:t>
            </w:r>
          </w:p>
        </w:tc>
        <w:tc>
          <w:tcPr>
            <w:tcW w:w="1381" w:type="pct"/>
            <w:tcBorders>
              <w:top w:val="single" w:sz="4" w:space="0" w:color="000000"/>
              <w:left w:val="single" w:sz="4" w:space="0" w:color="000000"/>
              <w:bottom w:val="single" w:sz="4" w:space="0" w:color="000000"/>
              <w:right w:val="single" w:sz="4" w:space="0" w:color="000000"/>
            </w:tcBorders>
          </w:tcPr>
          <w:p w14:paraId="34C63E14"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Përmirësimi i linjave të rrjetit të autobusëve ndërurban/ndërqytetas </w:t>
            </w:r>
          </w:p>
        </w:tc>
        <w:tc>
          <w:tcPr>
            <w:tcW w:w="705" w:type="pct"/>
            <w:tcBorders>
              <w:top w:val="single" w:sz="4" w:space="0" w:color="000000"/>
              <w:left w:val="single" w:sz="4" w:space="0" w:color="000000"/>
              <w:bottom w:val="single" w:sz="4" w:space="0" w:color="000000"/>
              <w:right w:val="single" w:sz="4" w:space="0" w:color="000000"/>
            </w:tcBorders>
          </w:tcPr>
          <w:p w14:paraId="34C63E15"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vMerge w:val="restart"/>
            <w:tcBorders>
              <w:top w:val="single" w:sz="4" w:space="0" w:color="000000"/>
              <w:left w:val="single" w:sz="4" w:space="0" w:color="000000"/>
              <w:right w:val="single" w:sz="4" w:space="0" w:color="000000"/>
            </w:tcBorders>
            <w:vAlign w:val="center"/>
          </w:tcPr>
          <w:p w14:paraId="34C63E16" w14:textId="77777777" w:rsidR="009D56D9" w:rsidRPr="009639ED" w:rsidRDefault="009D56D9" w:rsidP="009D56D9">
            <w:pPr>
              <w:spacing w:after="60" w:line="239" w:lineRule="auto"/>
              <w:ind w:left="2" w:right="50"/>
              <w:jc w:val="left"/>
              <w:rPr>
                <w:rFonts w:asciiTheme="majorHAnsi" w:hAnsiTheme="majorHAnsi" w:cstheme="majorHAnsi"/>
                <w:sz w:val="20"/>
                <w:szCs w:val="20"/>
              </w:rPr>
            </w:pPr>
            <w:r>
              <w:rPr>
                <w:rFonts w:asciiTheme="majorHAnsi" w:hAnsiTheme="majorHAnsi"/>
                <w:sz w:val="20"/>
                <w:szCs w:val="20"/>
              </w:rPr>
              <w:t xml:space="preserve">Nuk disponohet buxhet specifik, por buxheti total i parashikuar për investime në sektorin e transportit për një periudhë 20-vjeçare (2019-2038) është 4888,03 milionë euro. Nga këto, 4458,53 milionë euro janë </w:t>
            </w:r>
            <w:r>
              <w:rPr>
                <w:rFonts w:asciiTheme="majorHAnsi" w:hAnsiTheme="majorHAnsi"/>
                <w:sz w:val="20"/>
                <w:szCs w:val="20"/>
              </w:rPr>
              <w:lastRenderedPageBreak/>
              <w:t xml:space="preserve">të destinuara për projekte të zhvilluara nga sektori publik, ndërsa 429,5 milionë euro janë investime private. </w:t>
            </w:r>
          </w:p>
          <w:p w14:paraId="34C63E17" w14:textId="77777777" w:rsidR="009D56D9" w:rsidRPr="00CE59C6" w:rsidRDefault="009D56D9" w:rsidP="009D56D9">
            <w:pPr>
              <w:spacing w:after="62" w:line="237" w:lineRule="auto"/>
              <w:ind w:left="2"/>
              <w:jc w:val="left"/>
              <w:rPr>
                <w:rFonts w:asciiTheme="majorHAnsi" w:hAnsiTheme="majorHAnsi" w:cstheme="majorHAnsi"/>
                <w:sz w:val="20"/>
                <w:szCs w:val="20"/>
              </w:rPr>
            </w:pPr>
            <w:r>
              <w:rPr>
                <w:rFonts w:asciiTheme="majorHAnsi" w:hAnsiTheme="majorHAnsi"/>
                <w:sz w:val="20"/>
                <w:szCs w:val="20"/>
              </w:rPr>
              <w:t>Përllogaritje: 20 000 euro për çdo studim fizibiliteti</w:t>
            </w:r>
          </w:p>
        </w:tc>
        <w:tc>
          <w:tcPr>
            <w:tcW w:w="575" w:type="pct"/>
            <w:tcBorders>
              <w:top w:val="single" w:sz="4" w:space="0" w:color="000000"/>
              <w:left w:val="single" w:sz="4" w:space="0" w:color="000000"/>
              <w:bottom w:val="single" w:sz="4" w:space="0" w:color="000000"/>
              <w:right w:val="single" w:sz="4" w:space="0" w:color="000000"/>
            </w:tcBorders>
          </w:tcPr>
          <w:p w14:paraId="34C63E18"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lastRenderedPageBreak/>
              <w:t xml:space="preserve">WAM </w:t>
            </w:r>
          </w:p>
        </w:tc>
      </w:tr>
      <w:tr w:rsidR="009D56D9" w:rsidRPr="00CE59C6" w14:paraId="34C63E20" w14:textId="77777777" w:rsidTr="00852E36">
        <w:trPr>
          <w:trHeight w:val="300"/>
        </w:trPr>
        <w:tc>
          <w:tcPr>
            <w:tcW w:w="260" w:type="pct"/>
            <w:tcBorders>
              <w:top w:val="single" w:sz="4" w:space="0" w:color="000000"/>
              <w:left w:val="single" w:sz="4" w:space="0" w:color="000000"/>
              <w:bottom w:val="single" w:sz="4" w:space="0" w:color="000000"/>
              <w:right w:val="single" w:sz="4" w:space="0" w:color="000000"/>
            </w:tcBorders>
          </w:tcPr>
          <w:p w14:paraId="34C63E1A" w14:textId="77777777" w:rsidR="009D56D9" w:rsidRPr="00CE59C6" w:rsidRDefault="009D56D9" w:rsidP="00CE45B5">
            <w:pPr>
              <w:spacing w:line="259" w:lineRule="auto"/>
              <w:ind w:right="47"/>
              <w:jc w:val="center"/>
              <w:rPr>
                <w:rFonts w:asciiTheme="majorHAnsi" w:hAnsiTheme="majorHAnsi" w:cstheme="majorHAnsi"/>
                <w:sz w:val="20"/>
                <w:szCs w:val="20"/>
              </w:rPr>
            </w:pPr>
            <w:r>
              <w:rPr>
                <w:rFonts w:asciiTheme="majorHAnsi" w:hAnsiTheme="majorHAnsi"/>
                <w:sz w:val="20"/>
                <w:szCs w:val="20"/>
              </w:rPr>
              <w:t xml:space="preserve">2 </w:t>
            </w:r>
          </w:p>
        </w:tc>
        <w:tc>
          <w:tcPr>
            <w:tcW w:w="373" w:type="pct"/>
            <w:tcBorders>
              <w:top w:val="single" w:sz="4" w:space="0" w:color="000000"/>
              <w:left w:val="single" w:sz="4" w:space="0" w:color="000000"/>
              <w:bottom w:val="single" w:sz="4" w:space="0" w:color="000000"/>
              <w:right w:val="single" w:sz="4" w:space="0" w:color="000000"/>
            </w:tcBorders>
          </w:tcPr>
          <w:p w14:paraId="34C63E1B"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G-T2 </w:t>
            </w:r>
          </w:p>
        </w:tc>
        <w:tc>
          <w:tcPr>
            <w:tcW w:w="1381" w:type="pct"/>
            <w:tcBorders>
              <w:top w:val="single" w:sz="4" w:space="0" w:color="000000"/>
              <w:left w:val="single" w:sz="4" w:space="0" w:color="000000"/>
              <w:bottom w:val="single" w:sz="4" w:space="0" w:color="000000"/>
              <w:right w:val="single" w:sz="4" w:space="0" w:color="000000"/>
            </w:tcBorders>
          </w:tcPr>
          <w:p w14:paraId="34C63E1C"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Menaxhimi i integruar i transportit të mallrave </w:t>
            </w:r>
          </w:p>
        </w:tc>
        <w:tc>
          <w:tcPr>
            <w:tcW w:w="705" w:type="pct"/>
            <w:tcBorders>
              <w:top w:val="single" w:sz="4" w:space="0" w:color="000000"/>
              <w:left w:val="single" w:sz="4" w:space="0" w:color="000000"/>
              <w:bottom w:val="single" w:sz="4" w:space="0" w:color="000000"/>
              <w:right w:val="single" w:sz="4" w:space="0" w:color="000000"/>
            </w:tcBorders>
          </w:tcPr>
          <w:p w14:paraId="34C63E1D"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vMerge/>
            <w:tcBorders>
              <w:left w:val="single" w:sz="4" w:space="0" w:color="000000"/>
              <w:right w:val="single" w:sz="4" w:space="0" w:color="000000"/>
            </w:tcBorders>
          </w:tcPr>
          <w:p w14:paraId="34C63E1E" w14:textId="77777777" w:rsidR="009D56D9" w:rsidRPr="00CE59C6" w:rsidRDefault="009D56D9" w:rsidP="00CE45B5">
            <w:pPr>
              <w:spacing w:line="259" w:lineRule="auto"/>
              <w:jc w:val="left"/>
              <w:rPr>
                <w:rFonts w:asciiTheme="majorHAnsi" w:hAnsiTheme="majorHAnsi" w:cstheme="majorHAnsi"/>
                <w:sz w:val="20"/>
                <w:szCs w:val="20"/>
              </w:rPr>
            </w:pPr>
          </w:p>
        </w:tc>
        <w:tc>
          <w:tcPr>
            <w:tcW w:w="575" w:type="pct"/>
            <w:tcBorders>
              <w:top w:val="single" w:sz="4" w:space="0" w:color="000000"/>
              <w:left w:val="single" w:sz="4" w:space="0" w:color="000000"/>
              <w:bottom w:val="single" w:sz="4" w:space="0" w:color="000000"/>
              <w:right w:val="single" w:sz="4" w:space="0" w:color="000000"/>
            </w:tcBorders>
          </w:tcPr>
          <w:p w14:paraId="34C63E1F"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27" w14:textId="77777777" w:rsidTr="00852E36">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E21" w14:textId="77777777" w:rsidR="009D56D9" w:rsidRPr="00CE59C6" w:rsidRDefault="009D56D9" w:rsidP="00CE45B5">
            <w:pPr>
              <w:spacing w:line="259" w:lineRule="auto"/>
              <w:ind w:right="47"/>
              <w:jc w:val="center"/>
              <w:rPr>
                <w:rFonts w:asciiTheme="majorHAnsi" w:hAnsiTheme="majorHAnsi" w:cstheme="majorHAnsi"/>
                <w:sz w:val="20"/>
                <w:szCs w:val="20"/>
              </w:rPr>
            </w:pPr>
            <w:r>
              <w:rPr>
                <w:rFonts w:asciiTheme="majorHAnsi" w:hAnsiTheme="majorHAnsi"/>
                <w:sz w:val="20"/>
                <w:szCs w:val="20"/>
              </w:rPr>
              <w:lastRenderedPageBreak/>
              <w:t xml:space="preserve">3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22"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G-T3 </w:t>
            </w:r>
          </w:p>
        </w:tc>
        <w:tc>
          <w:tcPr>
            <w:tcW w:w="1381" w:type="pct"/>
            <w:tcBorders>
              <w:top w:val="single" w:sz="4" w:space="0" w:color="000000"/>
              <w:left w:val="single" w:sz="4" w:space="0" w:color="000000"/>
              <w:bottom w:val="single" w:sz="4" w:space="0" w:color="000000"/>
              <w:right w:val="single" w:sz="4" w:space="0" w:color="000000"/>
            </w:tcBorders>
          </w:tcPr>
          <w:p w14:paraId="34C63E23"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Taksa mbi makinat në bazë të efiçencës dhe incentiva për rinovimin e flotës </w:t>
            </w:r>
          </w:p>
        </w:tc>
        <w:tc>
          <w:tcPr>
            <w:tcW w:w="705" w:type="pct"/>
            <w:tcBorders>
              <w:top w:val="single" w:sz="4" w:space="0" w:color="000000"/>
              <w:left w:val="single" w:sz="4" w:space="0" w:color="000000"/>
              <w:bottom w:val="single" w:sz="4" w:space="0" w:color="000000"/>
              <w:right w:val="single" w:sz="4" w:space="0" w:color="000000"/>
            </w:tcBorders>
          </w:tcPr>
          <w:p w14:paraId="34C63E24"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Fiskale </w:t>
            </w:r>
          </w:p>
        </w:tc>
        <w:tc>
          <w:tcPr>
            <w:tcW w:w="1706" w:type="pct"/>
            <w:vMerge/>
            <w:tcBorders>
              <w:left w:val="single" w:sz="4" w:space="0" w:color="000000"/>
              <w:right w:val="single" w:sz="4" w:space="0" w:color="000000"/>
            </w:tcBorders>
          </w:tcPr>
          <w:p w14:paraId="34C63E25" w14:textId="77777777" w:rsidR="009D56D9" w:rsidRPr="00CE59C6" w:rsidRDefault="009D56D9" w:rsidP="00CE45B5">
            <w:pPr>
              <w:spacing w:line="259" w:lineRule="auto"/>
              <w:jc w:val="left"/>
              <w:rPr>
                <w:rFonts w:asciiTheme="majorHAnsi" w:hAnsiTheme="majorHAnsi" w:cstheme="majorHAnsi"/>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4C63E26"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2E" w14:textId="77777777" w:rsidTr="00852E36">
        <w:trPr>
          <w:trHeight w:val="300"/>
        </w:trPr>
        <w:tc>
          <w:tcPr>
            <w:tcW w:w="260" w:type="pct"/>
            <w:tcBorders>
              <w:top w:val="single" w:sz="4" w:space="0" w:color="000000"/>
              <w:left w:val="single" w:sz="4" w:space="0" w:color="000000"/>
              <w:bottom w:val="single" w:sz="4" w:space="0" w:color="000000"/>
              <w:right w:val="single" w:sz="4" w:space="0" w:color="000000"/>
            </w:tcBorders>
          </w:tcPr>
          <w:p w14:paraId="34C63E28" w14:textId="77777777" w:rsidR="009D56D9" w:rsidRPr="00CE59C6" w:rsidRDefault="009D56D9" w:rsidP="00CE45B5">
            <w:pPr>
              <w:spacing w:line="259" w:lineRule="auto"/>
              <w:ind w:right="47"/>
              <w:jc w:val="center"/>
              <w:rPr>
                <w:rFonts w:asciiTheme="majorHAnsi" w:hAnsiTheme="majorHAnsi" w:cstheme="majorHAnsi"/>
                <w:sz w:val="20"/>
                <w:szCs w:val="20"/>
              </w:rPr>
            </w:pPr>
            <w:r>
              <w:rPr>
                <w:rFonts w:asciiTheme="majorHAnsi" w:hAnsiTheme="majorHAnsi"/>
                <w:sz w:val="20"/>
                <w:szCs w:val="20"/>
              </w:rPr>
              <w:t xml:space="preserve">4 </w:t>
            </w:r>
          </w:p>
        </w:tc>
        <w:tc>
          <w:tcPr>
            <w:tcW w:w="373" w:type="pct"/>
            <w:tcBorders>
              <w:top w:val="single" w:sz="4" w:space="0" w:color="000000"/>
              <w:left w:val="single" w:sz="4" w:space="0" w:color="000000"/>
              <w:bottom w:val="single" w:sz="4" w:space="0" w:color="000000"/>
              <w:right w:val="single" w:sz="4" w:space="0" w:color="000000"/>
            </w:tcBorders>
          </w:tcPr>
          <w:p w14:paraId="34C63E29"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G-T4 </w:t>
            </w:r>
          </w:p>
        </w:tc>
        <w:tc>
          <w:tcPr>
            <w:tcW w:w="1381" w:type="pct"/>
            <w:tcBorders>
              <w:top w:val="single" w:sz="4" w:space="0" w:color="000000"/>
              <w:left w:val="single" w:sz="4" w:space="0" w:color="000000"/>
              <w:bottom w:val="single" w:sz="4" w:space="0" w:color="000000"/>
              <w:right w:val="single" w:sz="4" w:space="0" w:color="000000"/>
            </w:tcBorders>
          </w:tcPr>
          <w:p w14:paraId="34C63E2A"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Automjete ekologjike në prokurimin publik</w:t>
            </w:r>
          </w:p>
        </w:tc>
        <w:tc>
          <w:tcPr>
            <w:tcW w:w="705" w:type="pct"/>
            <w:tcBorders>
              <w:top w:val="single" w:sz="4" w:space="0" w:color="000000"/>
              <w:left w:val="single" w:sz="4" w:space="0" w:color="000000"/>
              <w:bottom w:val="single" w:sz="4" w:space="0" w:color="000000"/>
              <w:right w:val="single" w:sz="4" w:space="0" w:color="000000"/>
            </w:tcBorders>
          </w:tcPr>
          <w:p w14:paraId="34C63E2B"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vMerge/>
            <w:tcBorders>
              <w:left w:val="single" w:sz="4" w:space="0" w:color="000000"/>
              <w:right w:val="single" w:sz="4" w:space="0" w:color="000000"/>
            </w:tcBorders>
          </w:tcPr>
          <w:p w14:paraId="34C63E2C" w14:textId="77777777" w:rsidR="009D56D9" w:rsidRPr="00CE59C6" w:rsidRDefault="009D56D9" w:rsidP="00CE45B5">
            <w:pPr>
              <w:spacing w:line="259" w:lineRule="auto"/>
              <w:jc w:val="left"/>
              <w:rPr>
                <w:rFonts w:asciiTheme="majorHAnsi" w:hAnsiTheme="majorHAnsi" w:cstheme="majorHAnsi"/>
                <w:sz w:val="20"/>
                <w:szCs w:val="20"/>
              </w:rPr>
            </w:pPr>
          </w:p>
        </w:tc>
        <w:tc>
          <w:tcPr>
            <w:tcW w:w="575" w:type="pct"/>
            <w:tcBorders>
              <w:top w:val="single" w:sz="4" w:space="0" w:color="000000"/>
              <w:left w:val="single" w:sz="4" w:space="0" w:color="000000"/>
              <w:bottom w:val="single" w:sz="4" w:space="0" w:color="000000"/>
              <w:right w:val="single" w:sz="4" w:space="0" w:color="000000"/>
            </w:tcBorders>
          </w:tcPr>
          <w:p w14:paraId="34C63E2D"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35" w14:textId="77777777" w:rsidTr="00852E36">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E2F" w14:textId="77777777" w:rsidR="009D56D9" w:rsidRPr="00CE59C6" w:rsidRDefault="009D56D9" w:rsidP="00CE45B5">
            <w:pPr>
              <w:spacing w:line="259" w:lineRule="auto"/>
              <w:ind w:right="47"/>
              <w:jc w:val="center"/>
              <w:rPr>
                <w:rFonts w:asciiTheme="majorHAnsi" w:hAnsiTheme="majorHAnsi" w:cstheme="majorHAnsi"/>
                <w:sz w:val="20"/>
                <w:szCs w:val="20"/>
              </w:rPr>
            </w:pPr>
            <w:r>
              <w:rPr>
                <w:rFonts w:asciiTheme="majorHAnsi" w:hAnsiTheme="majorHAnsi"/>
                <w:sz w:val="20"/>
                <w:szCs w:val="20"/>
              </w:rPr>
              <w:t xml:space="preserve">5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30"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G-T5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31"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Hidrogjeni ekologjik në transportin me mjete të rënda</w:t>
            </w:r>
          </w:p>
        </w:tc>
        <w:tc>
          <w:tcPr>
            <w:tcW w:w="705" w:type="pct"/>
            <w:tcBorders>
              <w:top w:val="single" w:sz="4" w:space="0" w:color="000000"/>
              <w:left w:val="single" w:sz="4" w:space="0" w:color="000000"/>
              <w:bottom w:val="single" w:sz="4" w:space="0" w:color="000000"/>
              <w:right w:val="single" w:sz="4" w:space="0" w:color="000000"/>
            </w:tcBorders>
          </w:tcPr>
          <w:p w14:paraId="34C63E32"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Teknike; Financiare </w:t>
            </w:r>
          </w:p>
        </w:tc>
        <w:tc>
          <w:tcPr>
            <w:tcW w:w="1706" w:type="pct"/>
            <w:vMerge/>
            <w:tcBorders>
              <w:left w:val="single" w:sz="4" w:space="0" w:color="000000"/>
              <w:bottom w:val="single" w:sz="4" w:space="0" w:color="000000"/>
              <w:right w:val="single" w:sz="4" w:space="0" w:color="000000"/>
            </w:tcBorders>
          </w:tcPr>
          <w:p w14:paraId="34C63E33" w14:textId="77777777" w:rsidR="009D56D9" w:rsidRPr="00CE59C6" w:rsidRDefault="009D56D9" w:rsidP="00CE45B5">
            <w:pPr>
              <w:spacing w:line="259" w:lineRule="auto"/>
              <w:jc w:val="left"/>
              <w:rPr>
                <w:rFonts w:asciiTheme="majorHAnsi" w:hAnsiTheme="majorHAnsi" w:cstheme="majorHAnsi"/>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4C63E34"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3E" w14:textId="77777777" w:rsidTr="00852E36">
        <w:trPr>
          <w:trHeight w:val="759"/>
        </w:trPr>
        <w:tc>
          <w:tcPr>
            <w:tcW w:w="260" w:type="pct"/>
            <w:tcBorders>
              <w:top w:val="single" w:sz="4" w:space="0" w:color="000000"/>
              <w:left w:val="single" w:sz="4" w:space="0" w:color="000000"/>
              <w:bottom w:val="single" w:sz="4" w:space="0" w:color="000000"/>
              <w:right w:val="single" w:sz="4" w:space="0" w:color="000000"/>
            </w:tcBorders>
            <w:vAlign w:val="center"/>
          </w:tcPr>
          <w:p w14:paraId="34C63E36" w14:textId="77777777" w:rsidR="009D56D9" w:rsidRPr="00CE59C6" w:rsidRDefault="009D56D9" w:rsidP="00CE45B5">
            <w:pPr>
              <w:spacing w:line="259" w:lineRule="auto"/>
              <w:ind w:right="47"/>
              <w:jc w:val="center"/>
              <w:rPr>
                <w:rFonts w:asciiTheme="majorHAnsi" w:hAnsiTheme="majorHAnsi" w:cstheme="majorHAnsi"/>
                <w:sz w:val="20"/>
                <w:szCs w:val="20"/>
              </w:rPr>
            </w:pPr>
            <w:r>
              <w:rPr>
                <w:rFonts w:asciiTheme="majorHAnsi" w:hAnsiTheme="majorHAnsi"/>
                <w:sz w:val="20"/>
                <w:szCs w:val="20"/>
              </w:rPr>
              <w:t xml:space="preserve">6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37"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G-B1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38"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Politika për nxitjen e përdorimit të BRE-ve në sektorin e ngrohjes dhe ftohjes </w:t>
            </w:r>
          </w:p>
        </w:tc>
        <w:tc>
          <w:tcPr>
            <w:tcW w:w="705" w:type="pct"/>
            <w:tcBorders>
              <w:top w:val="single" w:sz="4" w:space="0" w:color="000000"/>
              <w:left w:val="single" w:sz="4" w:space="0" w:color="000000"/>
              <w:bottom w:val="single" w:sz="4" w:space="0" w:color="000000"/>
              <w:right w:val="single" w:sz="4" w:space="0" w:color="000000"/>
            </w:tcBorders>
          </w:tcPr>
          <w:p w14:paraId="34C63E39" w14:textId="5230D855" w:rsidR="009D56D9" w:rsidRPr="00CE59C6" w:rsidRDefault="00071DB3" w:rsidP="00CE45B5">
            <w:pPr>
              <w:spacing w:line="259" w:lineRule="auto"/>
              <w:ind w:left="2"/>
              <w:jc w:val="left"/>
              <w:rPr>
                <w:rFonts w:asciiTheme="majorHAnsi" w:hAnsiTheme="majorHAnsi" w:cstheme="majorHAnsi"/>
                <w:sz w:val="20"/>
                <w:szCs w:val="20"/>
              </w:rPr>
            </w:pPr>
            <w:r>
              <w:rPr>
                <w:rFonts w:asciiTheme="majorHAnsi" w:hAnsiTheme="majorHAnsi"/>
                <w:sz w:val="20"/>
                <w:szCs w:val="20"/>
              </w:rPr>
              <w:t>Rregullatore.</w:t>
            </w:r>
          </w:p>
          <w:p w14:paraId="34C63E3A" w14:textId="7FC5D7CC" w:rsidR="009D56D9" w:rsidRPr="00CE59C6" w:rsidRDefault="00071DB3" w:rsidP="00CE45B5">
            <w:pPr>
              <w:spacing w:line="259" w:lineRule="auto"/>
              <w:ind w:left="2"/>
              <w:jc w:val="left"/>
              <w:rPr>
                <w:rFonts w:asciiTheme="majorHAnsi" w:hAnsiTheme="majorHAnsi" w:cstheme="majorHAnsi"/>
                <w:sz w:val="20"/>
                <w:szCs w:val="20"/>
              </w:rPr>
            </w:pPr>
            <w:r>
              <w:rPr>
                <w:rFonts w:asciiTheme="majorHAnsi" w:hAnsiTheme="majorHAnsi"/>
                <w:sz w:val="20"/>
                <w:szCs w:val="20"/>
              </w:rPr>
              <w:t>Financiare.</w:t>
            </w:r>
          </w:p>
          <w:p w14:paraId="34C63E3B"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Edukative </w:t>
            </w:r>
          </w:p>
        </w:tc>
        <w:tc>
          <w:tcPr>
            <w:tcW w:w="1706" w:type="pct"/>
            <w:tcBorders>
              <w:top w:val="single" w:sz="4" w:space="0" w:color="000000"/>
              <w:left w:val="single" w:sz="4" w:space="0" w:color="000000"/>
              <w:bottom w:val="single" w:sz="4" w:space="0" w:color="000000"/>
              <w:right w:val="single" w:sz="4" w:space="0" w:color="000000"/>
            </w:tcBorders>
          </w:tcPr>
          <w:p w14:paraId="34C63E3C" w14:textId="29CD8939"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Përllogaritur në 1,6 milionë euro për sistemet termike diellore dhe 50 mijë euro për asistencën teknike për përgatitjen dhe zbatimin e kuadrit ligjor</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3D"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45" w14:textId="77777777" w:rsidTr="00852E36">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E3F" w14:textId="77777777" w:rsidR="009D56D9" w:rsidRPr="00CE59C6" w:rsidRDefault="009D56D9" w:rsidP="00CE45B5">
            <w:pPr>
              <w:spacing w:line="259" w:lineRule="auto"/>
              <w:ind w:right="47"/>
              <w:jc w:val="center"/>
              <w:rPr>
                <w:rFonts w:asciiTheme="majorHAnsi" w:hAnsiTheme="majorHAnsi" w:cstheme="majorHAnsi"/>
                <w:sz w:val="20"/>
                <w:szCs w:val="20"/>
              </w:rPr>
            </w:pPr>
            <w:r>
              <w:rPr>
                <w:rFonts w:asciiTheme="majorHAnsi" w:hAnsiTheme="majorHAnsi"/>
                <w:sz w:val="20"/>
                <w:szCs w:val="20"/>
              </w:rPr>
              <w:t xml:space="preserve">7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40"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G-I1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41"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Zbatimi i ETS-së në Shqipëri </w:t>
            </w:r>
          </w:p>
        </w:tc>
        <w:tc>
          <w:tcPr>
            <w:tcW w:w="705" w:type="pct"/>
            <w:tcBorders>
              <w:top w:val="single" w:sz="4" w:space="0" w:color="000000"/>
              <w:left w:val="single" w:sz="4" w:space="0" w:color="000000"/>
              <w:bottom w:val="single" w:sz="4" w:space="0" w:color="000000"/>
              <w:right w:val="single" w:sz="4" w:space="0" w:color="000000"/>
            </w:tcBorders>
          </w:tcPr>
          <w:p w14:paraId="34C63E42"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Edukative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43"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2 milionë euro (shifër treguese e bazuar në një analizë krahasuese)</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44"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4D" w14:textId="77777777" w:rsidTr="00852E36">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E46" w14:textId="77777777" w:rsidR="009D56D9" w:rsidRPr="00CE59C6" w:rsidRDefault="009D56D9" w:rsidP="00CE45B5">
            <w:pPr>
              <w:spacing w:line="259" w:lineRule="auto"/>
              <w:ind w:right="47"/>
              <w:jc w:val="center"/>
              <w:rPr>
                <w:rFonts w:asciiTheme="majorHAnsi" w:hAnsiTheme="majorHAnsi" w:cstheme="majorHAnsi"/>
                <w:sz w:val="20"/>
                <w:szCs w:val="20"/>
              </w:rPr>
            </w:pPr>
            <w:r>
              <w:rPr>
                <w:rFonts w:asciiTheme="majorHAnsi" w:hAnsiTheme="majorHAnsi"/>
                <w:sz w:val="20"/>
                <w:szCs w:val="20"/>
              </w:rPr>
              <w:t xml:space="preserve">8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47"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G-I2 </w:t>
            </w:r>
          </w:p>
        </w:tc>
        <w:tc>
          <w:tcPr>
            <w:tcW w:w="1381" w:type="pct"/>
            <w:tcBorders>
              <w:top w:val="single" w:sz="4" w:space="0" w:color="000000"/>
              <w:left w:val="single" w:sz="4" w:space="0" w:color="000000"/>
              <w:bottom w:val="single" w:sz="4" w:space="0" w:color="000000"/>
              <w:right w:val="single" w:sz="4" w:space="0" w:color="000000"/>
            </w:tcBorders>
          </w:tcPr>
          <w:p w14:paraId="34C63E49" w14:textId="251F4626" w:rsidR="009D56D9" w:rsidRPr="00CE59C6" w:rsidRDefault="009D56D9" w:rsidP="00852E36">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Ngritja e një mekanizmi për zbatimin e </w:t>
            </w:r>
            <w:r w:rsidR="006C26F0">
              <w:rPr>
                <w:rFonts w:asciiTheme="majorHAnsi" w:hAnsiTheme="majorHAnsi"/>
                <w:sz w:val="20"/>
                <w:szCs w:val="20"/>
              </w:rPr>
              <w:t>Rregullores për Mekanizmat e Monitorimit (MMR)</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E4A"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4B"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1 milion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4C"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54" w14:textId="77777777" w:rsidTr="00852E36">
        <w:trPr>
          <w:trHeight w:val="300"/>
        </w:trPr>
        <w:tc>
          <w:tcPr>
            <w:tcW w:w="260" w:type="pct"/>
            <w:tcBorders>
              <w:top w:val="single" w:sz="4" w:space="0" w:color="000000"/>
              <w:left w:val="single" w:sz="4" w:space="0" w:color="000000"/>
              <w:bottom w:val="single" w:sz="4" w:space="0" w:color="000000"/>
              <w:right w:val="single" w:sz="4" w:space="0" w:color="000000"/>
            </w:tcBorders>
          </w:tcPr>
          <w:p w14:paraId="34C63E4E" w14:textId="77777777" w:rsidR="009D56D9" w:rsidRPr="00CE59C6" w:rsidRDefault="009D56D9" w:rsidP="00CE45B5">
            <w:pPr>
              <w:spacing w:line="259" w:lineRule="auto"/>
              <w:ind w:right="47"/>
              <w:jc w:val="center"/>
              <w:rPr>
                <w:rFonts w:asciiTheme="majorHAnsi" w:hAnsiTheme="majorHAnsi" w:cstheme="majorHAnsi"/>
                <w:sz w:val="20"/>
                <w:szCs w:val="20"/>
              </w:rPr>
            </w:pPr>
            <w:r>
              <w:rPr>
                <w:rFonts w:asciiTheme="majorHAnsi" w:hAnsiTheme="majorHAnsi"/>
                <w:sz w:val="20"/>
                <w:szCs w:val="20"/>
              </w:rPr>
              <w:t xml:space="preserve">9 </w:t>
            </w:r>
          </w:p>
        </w:tc>
        <w:tc>
          <w:tcPr>
            <w:tcW w:w="373" w:type="pct"/>
            <w:tcBorders>
              <w:top w:val="single" w:sz="4" w:space="0" w:color="000000"/>
              <w:left w:val="single" w:sz="4" w:space="0" w:color="000000"/>
              <w:bottom w:val="single" w:sz="4" w:space="0" w:color="000000"/>
              <w:right w:val="single" w:sz="4" w:space="0" w:color="000000"/>
            </w:tcBorders>
          </w:tcPr>
          <w:p w14:paraId="34C63E4F"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G-I3 </w:t>
            </w:r>
          </w:p>
        </w:tc>
        <w:tc>
          <w:tcPr>
            <w:tcW w:w="1381" w:type="pct"/>
            <w:tcBorders>
              <w:top w:val="single" w:sz="4" w:space="0" w:color="000000"/>
              <w:left w:val="single" w:sz="4" w:space="0" w:color="000000"/>
              <w:bottom w:val="single" w:sz="4" w:space="0" w:color="000000"/>
              <w:right w:val="single" w:sz="4" w:space="0" w:color="000000"/>
            </w:tcBorders>
          </w:tcPr>
          <w:p w14:paraId="34C63E50"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Reduktimi i shkarkimeve të GES-ve nga prodhimi i çimentos </w:t>
            </w:r>
          </w:p>
        </w:tc>
        <w:tc>
          <w:tcPr>
            <w:tcW w:w="705" w:type="pct"/>
            <w:tcBorders>
              <w:top w:val="single" w:sz="4" w:space="0" w:color="000000"/>
              <w:left w:val="single" w:sz="4" w:space="0" w:color="000000"/>
              <w:bottom w:val="single" w:sz="4" w:space="0" w:color="000000"/>
              <w:right w:val="single" w:sz="4" w:space="0" w:color="000000"/>
            </w:tcBorders>
          </w:tcPr>
          <w:p w14:paraId="34C63E51"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Teknike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52"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Rreth 0,3 milionë euro për studimin e fizibilitetit</w:t>
            </w:r>
          </w:p>
        </w:tc>
        <w:tc>
          <w:tcPr>
            <w:tcW w:w="575" w:type="pct"/>
            <w:tcBorders>
              <w:top w:val="single" w:sz="4" w:space="0" w:color="000000"/>
              <w:left w:val="single" w:sz="4" w:space="0" w:color="000000"/>
              <w:bottom w:val="single" w:sz="4" w:space="0" w:color="000000"/>
              <w:right w:val="single" w:sz="4" w:space="0" w:color="000000"/>
            </w:tcBorders>
          </w:tcPr>
          <w:p w14:paraId="34C63E53"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5B" w14:textId="77777777" w:rsidTr="00852E36">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E55" w14:textId="77777777" w:rsidR="009D56D9" w:rsidRPr="00CE59C6" w:rsidRDefault="009D56D9" w:rsidP="00CE45B5">
            <w:pPr>
              <w:spacing w:line="259" w:lineRule="auto"/>
              <w:ind w:right="43"/>
              <w:jc w:val="center"/>
              <w:rPr>
                <w:rFonts w:asciiTheme="majorHAnsi" w:hAnsiTheme="majorHAnsi" w:cstheme="majorHAnsi"/>
                <w:sz w:val="20"/>
                <w:szCs w:val="20"/>
              </w:rPr>
            </w:pPr>
            <w:r>
              <w:rPr>
                <w:rFonts w:asciiTheme="majorHAnsi" w:hAnsiTheme="majorHAnsi"/>
                <w:sz w:val="20"/>
                <w:szCs w:val="20"/>
              </w:rPr>
              <w:t xml:space="preserve">10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56"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G-I4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57"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Reduktimi i shkarkimeve të gazeve të fluorinuara (Gazet-F)  </w:t>
            </w:r>
          </w:p>
        </w:tc>
        <w:tc>
          <w:tcPr>
            <w:tcW w:w="705" w:type="pct"/>
            <w:tcBorders>
              <w:top w:val="single" w:sz="4" w:space="0" w:color="000000"/>
              <w:left w:val="single" w:sz="4" w:space="0" w:color="000000"/>
              <w:bottom w:val="single" w:sz="4" w:space="0" w:color="000000"/>
              <w:right w:val="single" w:sz="4" w:space="0" w:color="000000"/>
            </w:tcBorders>
          </w:tcPr>
          <w:p w14:paraId="34C63E58"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Financiare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59"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Rreth 0,5 milionë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5A"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62" w14:textId="77777777" w:rsidTr="00852E36">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E5C" w14:textId="77777777" w:rsidR="009D56D9" w:rsidRPr="00CE59C6" w:rsidRDefault="009D56D9" w:rsidP="00CE45B5">
            <w:pPr>
              <w:spacing w:line="259" w:lineRule="auto"/>
              <w:ind w:right="43"/>
              <w:jc w:val="center"/>
              <w:rPr>
                <w:rFonts w:asciiTheme="majorHAnsi" w:hAnsiTheme="majorHAnsi" w:cstheme="majorHAnsi"/>
                <w:sz w:val="20"/>
                <w:szCs w:val="20"/>
              </w:rPr>
            </w:pPr>
            <w:r>
              <w:rPr>
                <w:rFonts w:asciiTheme="majorHAnsi" w:hAnsiTheme="majorHAnsi"/>
                <w:sz w:val="20"/>
                <w:szCs w:val="20"/>
              </w:rPr>
              <w:t xml:space="preserve">11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5D"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G-I5 </w:t>
            </w:r>
          </w:p>
        </w:tc>
        <w:tc>
          <w:tcPr>
            <w:tcW w:w="1381" w:type="pct"/>
            <w:tcBorders>
              <w:top w:val="single" w:sz="4" w:space="0" w:color="000000"/>
              <w:left w:val="single" w:sz="4" w:space="0" w:color="000000"/>
              <w:bottom w:val="single" w:sz="4" w:space="0" w:color="000000"/>
              <w:right w:val="single" w:sz="4" w:space="0" w:color="000000"/>
            </w:tcBorders>
          </w:tcPr>
          <w:p w14:paraId="34C63E5E"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Hidrogjeni ekologjik për industrinë e prodhimit të ferrokromit dhe çelikut</w:t>
            </w:r>
          </w:p>
        </w:tc>
        <w:tc>
          <w:tcPr>
            <w:tcW w:w="705" w:type="pct"/>
            <w:tcBorders>
              <w:top w:val="single" w:sz="4" w:space="0" w:color="000000"/>
              <w:left w:val="single" w:sz="4" w:space="0" w:color="000000"/>
              <w:bottom w:val="single" w:sz="4" w:space="0" w:color="000000"/>
              <w:right w:val="single" w:sz="4" w:space="0" w:color="000000"/>
            </w:tcBorders>
          </w:tcPr>
          <w:p w14:paraId="34C63E5F"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Teknike; Financiare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60"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Përllogaritje: 0,5 milionë euro për studimet në nivel strategjik dhe të fizibilitetit</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61"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69" w14:textId="77777777" w:rsidTr="00852E36">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E63" w14:textId="77777777" w:rsidR="009D56D9" w:rsidRPr="00CE59C6" w:rsidRDefault="009D56D9" w:rsidP="00CE45B5">
            <w:pPr>
              <w:spacing w:line="259" w:lineRule="auto"/>
              <w:ind w:right="43"/>
              <w:jc w:val="center"/>
              <w:rPr>
                <w:rFonts w:asciiTheme="majorHAnsi" w:hAnsiTheme="majorHAnsi" w:cstheme="majorHAnsi"/>
                <w:sz w:val="20"/>
                <w:szCs w:val="20"/>
              </w:rPr>
            </w:pPr>
            <w:r>
              <w:rPr>
                <w:rFonts w:asciiTheme="majorHAnsi" w:hAnsiTheme="majorHAnsi"/>
                <w:sz w:val="20"/>
                <w:szCs w:val="20"/>
              </w:rPr>
              <w:t xml:space="preserve">12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64"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G-I6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65"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Strategjia e hidrogjenit ekologjik  </w:t>
            </w:r>
          </w:p>
        </w:tc>
        <w:tc>
          <w:tcPr>
            <w:tcW w:w="705" w:type="pct"/>
            <w:tcBorders>
              <w:top w:val="single" w:sz="4" w:space="0" w:color="000000"/>
              <w:left w:val="single" w:sz="4" w:space="0" w:color="000000"/>
              <w:bottom w:val="single" w:sz="4" w:space="0" w:color="000000"/>
              <w:right w:val="single" w:sz="4" w:space="0" w:color="000000"/>
            </w:tcBorders>
          </w:tcPr>
          <w:p w14:paraId="34C63E66"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Promocionale; 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67"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Rreth 0,3 milionë euro për zhvillimin e strategjisë</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68"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72" w14:textId="77777777" w:rsidTr="00852E36">
        <w:trPr>
          <w:trHeight w:val="759"/>
        </w:trPr>
        <w:tc>
          <w:tcPr>
            <w:tcW w:w="260" w:type="pct"/>
            <w:tcBorders>
              <w:top w:val="single" w:sz="4" w:space="0" w:color="000000"/>
              <w:left w:val="single" w:sz="4" w:space="0" w:color="000000"/>
              <w:bottom w:val="single" w:sz="4" w:space="0" w:color="000000"/>
              <w:right w:val="single" w:sz="4" w:space="0" w:color="000000"/>
            </w:tcBorders>
            <w:vAlign w:val="center"/>
          </w:tcPr>
          <w:p w14:paraId="34C63E6A" w14:textId="77777777" w:rsidR="009D56D9" w:rsidRPr="00CE59C6" w:rsidRDefault="009D56D9" w:rsidP="00CE45B5">
            <w:pPr>
              <w:spacing w:line="259" w:lineRule="auto"/>
              <w:ind w:right="43"/>
              <w:jc w:val="center"/>
              <w:rPr>
                <w:rFonts w:asciiTheme="majorHAnsi" w:hAnsiTheme="majorHAnsi" w:cstheme="majorHAnsi"/>
                <w:sz w:val="20"/>
                <w:szCs w:val="20"/>
              </w:rPr>
            </w:pPr>
            <w:r>
              <w:rPr>
                <w:rFonts w:asciiTheme="majorHAnsi" w:hAnsiTheme="majorHAnsi"/>
                <w:sz w:val="20"/>
                <w:szCs w:val="20"/>
              </w:rPr>
              <w:t xml:space="preserve">13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6B"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G-A1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6C"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Promovimi i bujqësisë organike </w:t>
            </w:r>
          </w:p>
        </w:tc>
        <w:tc>
          <w:tcPr>
            <w:tcW w:w="705" w:type="pct"/>
            <w:tcBorders>
              <w:top w:val="single" w:sz="4" w:space="0" w:color="000000"/>
              <w:left w:val="single" w:sz="4" w:space="0" w:color="000000"/>
              <w:bottom w:val="single" w:sz="4" w:space="0" w:color="000000"/>
              <w:right w:val="single" w:sz="4" w:space="0" w:color="000000"/>
            </w:tcBorders>
          </w:tcPr>
          <w:p w14:paraId="34C63E6D"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Rregullatore;</w:t>
            </w:r>
          </w:p>
          <w:p w14:paraId="34C63E6E"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Financiare;</w:t>
            </w:r>
          </w:p>
          <w:p w14:paraId="34C63E6F"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Edukative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70" w14:textId="670A0769"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Buxheti për masat agro-mjedisore, klimatike dhe ato të bujqësisë organike është 2,5 milionë euro pas vitit 2020. Vlera e përllogaritur për trajnimin dhe rritjen e ndërgjegjësimit është 150 mijë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71"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79" w14:textId="77777777" w:rsidTr="00852E36">
        <w:trPr>
          <w:trHeight w:val="900"/>
        </w:trPr>
        <w:tc>
          <w:tcPr>
            <w:tcW w:w="260" w:type="pct"/>
            <w:tcBorders>
              <w:top w:val="single" w:sz="4" w:space="0" w:color="000000"/>
              <w:left w:val="single" w:sz="4" w:space="0" w:color="000000"/>
              <w:bottom w:val="single" w:sz="4" w:space="0" w:color="000000"/>
              <w:right w:val="single" w:sz="4" w:space="0" w:color="000000"/>
            </w:tcBorders>
            <w:vAlign w:val="center"/>
          </w:tcPr>
          <w:p w14:paraId="34C63E73" w14:textId="77777777" w:rsidR="009D56D9" w:rsidRPr="00CE59C6" w:rsidRDefault="009D56D9" w:rsidP="00CE45B5">
            <w:pPr>
              <w:spacing w:line="259" w:lineRule="auto"/>
              <w:ind w:right="43"/>
              <w:jc w:val="center"/>
              <w:rPr>
                <w:rFonts w:asciiTheme="majorHAnsi" w:hAnsiTheme="majorHAnsi" w:cstheme="majorHAnsi"/>
                <w:sz w:val="20"/>
                <w:szCs w:val="20"/>
              </w:rPr>
            </w:pPr>
            <w:r>
              <w:rPr>
                <w:rFonts w:asciiTheme="majorHAnsi" w:hAnsiTheme="majorHAnsi"/>
                <w:sz w:val="20"/>
                <w:szCs w:val="20"/>
              </w:rPr>
              <w:lastRenderedPageBreak/>
              <w:t xml:space="preserve">14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74"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G-A2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75"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Përmirësimi i monitorimit bujqësor në Shqipëri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E76"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77"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Nuk është identifikuar asnjë buxhet specifik</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78"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81" w14:textId="77777777" w:rsidTr="00852E36">
        <w:trPr>
          <w:trHeight w:val="589"/>
        </w:trPr>
        <w:tc>
          <w:tcPr>
            <w:tcW w:w="260" w:type="pct"/>
            <w:tcBorders>
              <w:top w:val="single" w:sz="4" w:space="0" w:color="000000"/>
              <w:left w:val="single" w:sz="4" w:space="0" w:color="000000"/>
              <w:bottom w:val="single" w:sz="4" w:space="0" w:color="000000"/>
              <w:right w:val="single" w:sz="4" w:space="0" w:color="000000"/>
            </w:tcBorders>
            <w:vAlign w:val="center"/>
          </w:tcPr>
          <w:p w14:paraId="34C63E7A" w14:textId="77777777" w:rsidR="009D56D9" w:rsidRPr="00CE59C6" w:rsidRDefault="009D56D9" w:rsidP="00CE45B5">
            <w:pPr>
              <w:spacing w:line="259" w:lineRule="auto"/>
              <w:ind w:right="43"/>
              <w:jc w:val="center"/>
              <w:rPr>
                <w:rFonts w:asciiTheme="majorHAnsi" w:hAnsiTheme="majorHAnsi" w:cstheme="majorHAnsi"/>
                <w:sz w:val="20"/>
                <w:szCs w:val="20"/>
              </w:rPr>
            </w:pPr>
            <w:r>
              <w:rPr>
                <w:rFonts w:asciiTheme="majorHAnsi" w:hAnsiTheme="majorHAnsi"/>
                <w:sz w:val="20"/>
                <w:szCs w:val="20"/>
              </w:rPr>
              <w:t xml:space="preserve">15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7B"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G-A3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7C"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Rregullimi i praktikave të djegies në bujqësi </w:t>
            </w:r>
          </w:p>
        </w:tc>
        <w:tc>
          <w:tcPr>
            <w:tcW w:w="705" w:type="pct"/>
            <w:tcBorders>
              <w:top w:val="single" w:sz="4" w:space="0" w:color="000000"/>
              <w:left w:val="single" w:sz="4" w:space="0" w:color="000000"/>
              <w:bottom w:val="single" w:sz="4" w:space="0" w:color="000000"/>
              <w:right w:val="single" w:sz="4" w:space="0" w:color="000000"/>
            </w:tcBorders>
          </w:tcPr>
          <w:p w14:paraId="34C63E7D" w14:textId="77777777" w:rsidR="009D56D9" w:rsidRPr="00CE59C6" w:rsidRDefault="009D56D9" w:rsidP="00CE45B5">
            <w:pPr>
              <w:spacing w:after="41" w:line="259" w:lineRule="auto"/>
              <w:ind w:left="2"/>
              <w:jc w:val="left"/>
              <w:rPr>
                <w:rFonts w:asciiTheme="majorHAnsi" w:hAnsiTheme="majorHAnsi" w:cstheme="majorHAnsi"/>
                <w:sz w:val="20"/>
                <w:szCs w:val="20"/>
              </w:rPr>
            </w:pPr>
            <w:r>
              <w:rPr>
                <w:rFonts w:asciiTheme="majorHAnsi" w:hAnsiTheme="majorHAnsi"/>
                <w:sz w:val="20"/>
                <w:szCs w:val="20"/>
              </w:rPr>
              <w:t>Rregullatore;</w:t>
            </w:r>
          </w:p>
          <w:p w14:paraId="34C63E7E"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Edukative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7F"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Nuk është identifikuar asnjë buxhet specifik</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80"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88" w14:textId="77777777" w:rsidTr="00852E36">
        <w:tblPrEx>
          <w:tblCellMar>
            <w:top w:w="72" w:type="dxa"/>
            <w:right w:w="9" w:type="dxa"/>
          </w:tblCellMar>
        </w:tblPrEx>
        <w:trPr>
          <w:trHeight w:val="528"/>
        </w:trPr>
        <w:tc>
          <w:tcPr>
            <w:tcW w:w="260" w:type="pct"/>
            <w:tcBorders>
              <w:top w:val="single" w:sz="4" w:space="0" w:color="000000"/>
              <w:left w:val="single" w:sz="4" w:space="0" w:color="000000"/>
              <w:bottom w:val="single" w:sz="4" w:space="0" w:color="000000"/>
              <w:right w:val="single" w:sz="4" w:space="0" w:color="000000"/>
            </w:tcBorders>
            <w:vAlign w:val="center"/>
          </w:tcPr>
          <w:p w14:paraId="34C63E82"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16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83"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G-W1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84"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Reduktimi i shkarkimeve nga mbetjet </w:t>
            </w:r>
          </w:p>
        </w:tc>
        <w:tc>
          <w:tcPr>
            <w:tcW w:w="705" w:type="pct"/>
            <w:tcBorders>
              <w:top w:val="single" w:sz="4" w:space="0" w:color="000000"/>
              <w:left w:val="single" w:sz="4" w:space="0" w:color="000000"/>
              <w:bottom w:val="single" w:sz="4" w:space="0" w:color="000000"/>
              <w:right w:val="single" w:sz="4" w:space="0" w:color="000000"/>
            </w:tcBorders>
          </w:tcPr>
          <w:p w14:paraId="34C63E85"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Financiare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86"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Vlera e parashikuar për rehabilitimin e vendgrumbullimit është rreth 76 milionë euro; vlera për grumbullimin e materialeve të riciklueshme të thata rreth 18,5 milionë euro dhe ajo për grumbullimin e mbetjeve organike dhe kompostimin rreth 13 milionë euro. (Të gjitha vlerat janë llogaritur për periudhën 2018-2032.)</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87"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8F" w14:textId="77777777" w:rsidTr="00852E36">
        <w:tblPrEx>
          <w:tblCellMar>
            <w:top w:w="72" w:type="dxa"/>
            <w:right w:w="9" w:type="dxa"/>
          </w:tblCellMar>
        </w:tblPrEx>
        <w:trPr>
          <w:trHeight w:val="559"/>
        </w:trPr>
        <w:tc>
          <w:tcPr>
            <w:tcW w:w="260" w:type="pct"/>
            <w:tcBorders>
              <w:top w:val="single" w:sz="4" w:space="0" w:color="000000"/>
              <w:left w:val="single" w:sz="4" w:space="0" w:color="000000"/>
              <w:bottom w:val="single" w:sz="4" w:space="0" w:color="000000"/>
              <w:right w:val="single" w:sz="4" w:space="0" w:color="000000"/>
            </w:tcBorders>
            <w:vAlign w:val="center"/>
          </w:tcPr>
          <w:p w14:paraId="34C63E89"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17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8A"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G-W2 </w:t>
            </w:r>
          </w:p>
        </w:tc>
        <w:tc>
          <w:tcPr>
            <w:tcW w:w="1381" w:type="pct"/>
            <w:tcBorders>
              <w:top w:val="single" w:sz="4" w:space="0" w:color="000000"/>
              <w:left w:val="single" w:sz="4" w:space="0" w:color="000000"/>
              <w:bottom w:val="single" w:sz="4" w:space="0" w:color="000000"/>
              <w:right w:val="single" w:sz="4" w:space="0" w:color="000000"/>
            </w:tcBorders>
          </w:tcPr>
          <w:p w14:paraId="34C63E8B"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Përdorimi i impianteve të incinerimit të mbetjeve për procesin e menaxhimit të integruar të mbetjeve në Shqipëri </w:t>
            </w:r>
          </w:p>
        </w:tc>
        <w:tc>
          <w:tcPr>
            <w:tcW w:w="705" w:type="pct"/>
            <w:tcBorders>
              <w:top w:val="single" w:sz="4" w:space="0" w:color="000000"/>
              <w:left w:val="single" w:sz="4" w:space="0" w:color="000000"/>
              <w:bottom w:val="single" w:sz="4" w:space="0" w:color="000000"/>
              <w:right w:val="single" w:sz="4" w:space="0" w:color="000000"/>
            </w:tcBorders>
          </w:tcPr>
          <w:p w14:paraId="34C63E8C"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Financiare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8D" w14:textId="2DC91D06"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Kostoja e rritjes së ndërgjegjësimit dhe trajnimit është rreth 100 mijë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8E"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96" w14:textId="77777777" w:rsidTr="00852E36">
        <w:tblPrEx>
          <w:tblCellMar>
            <w:top w:w="72" w:type="dxa"/>
            <w:right w:w="9"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E90"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18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91"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G-W3 </w:t>
            </w:r>
          </w:p>
        </w:tc>
        <w:tc>
          <w:tcPr>
            <w:tcW w:w="1381" w:type="pct"/>
            <w:tcBorders>
              <w:top w:val="single" w:sz="4" w:space="0" w:color="000000"/>
              <w:left w:val="single" w:sz="4" w:space="0" w:color="000000"/>
              <w:bottom w:val="single" w:sz="4" w:space="0" w:color="000000"/>
              <w:right w:val="single" w:sz="4" w:space="0" w:color="000000"/>
            </w:tcBorders>
          </w:tcPr>
          <w:p w14:paraId="34C63E92"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Shtimi i impianteve të trajtimit të ujërave të përdorura dhe mbulimit të tyre përkatës </w:t>
            </w:r>
          </w:p>
        </w:tc>
        <w:tc>
          <w:tcPr>
            <w:tcW w:w="705" w:type="pct"/>
            <w:tcBorders>
              <w:top w:val="single" w:sz="4" w:space="0" w:color="000000"/>
              <w:left w:val="single" w:sz="4" w:space="0" w:color="000000"/>
              <w:bottom w:val="single" w:sz="4" w:space="0" w:color="000000"/>
              <w:right w:val="single" w:sz="4" w:space="0" w:color="000000"/>
            </w:tcBorders>
          </w:tcPr>
          <w:p w14:paraId="34C63E93"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Financiare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94"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Strategjia Kombëtare e Sektorit të Furnizimit me Ujë dhe Kanalizimeve 2019-2030 (draft) ka një kosto prej rreth 1,5 miliardë euro, nga të cilat 99,2% i zë infrastruktura dhe 0,8% asistenca teknike.</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95"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9D" w14:textId="77777777" w:rsidTr="00852E36">
        <w:tblPrEx>
          <w:tblCellMar>
            <w:top w:w="72" w:type="dxa"/>
            <w:right w:w="9" w:type="dxa"/>
          </w:tblCellMar>
        </w:tblPrEx>
        <w:trPr>
          <w:trHeight w:val="527"/>
        </w:trPr>
        <w:tc>
          <w:tcPr>
            <w:tcW w:w="260" w:type="pct"/>
            <w:tcBorders>
              <w:top w:val="single" w:sz="4" w:space="0" w:color="000000"/>
              <w:left w:val="single" w:sz="4" w:space="0" w:color="000000"/>
              <w:bottom w:val="single" w:sz="4" w:space="0" w:color="000000"/>
              <w:right w:val="single" w:sz="4" w:space="0" w:color="000000"/>
            </w:tcBorders>
            <w:vAlign w:val="center"/>
          </w:tcPr>
          <w:p w14:paraId="34C63E97"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19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98"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G-W4 </w:t>
            </w:r>
          </w:p>
        </w:tc>
        <w:tc>
          <w:tcPr>
            <w:tcW w:w="1381" w:type="pct"/>
            <w:tcBorders>
              <w:top w:val="single" w:sz="4" w:space="0" w:color="000000"/>
              <w:left w:val="single" w:sz="4" w:space="0" w:color="000000"/>
              <w:bottom w:val="single" w:sz="4" w:space="0" w:color="000000"/>
              <w:right w:val="single" w:sz="4" w:space="0" w:color="000000"/>
            </w:tcBorders>
          </w:tcPr>
          <w:p w14:paraId="34C63E99" w14:textId="0FD040B6"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Ngritja e kapaciteteve dhe zhvillimi organizativ për bashkitë lidhur me trajtimin e mbetjeve dhe ujërave të ndotura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E9A"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Edukative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9B" w14:textId="3F49E8E5"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Përllogaritur në 150 mijë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9C"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A6" w14:textId="77777777" w:rsidTr="00852E36">
        <w:tblPrEx>
          <w:tblCellMar>
            <w:top w:w="72" w:type="dxa"/>
            <w:right w:w="9" w:type="dxa"/>
          </w:tblCellMar>
        </w:tblPrEx>
        <w:trPr>
          <w:trHeight w:val="656"/>
        </w:trPr>
        <w:tc>
          <w:tcPr>
            <w:tcW w:w="260" w:type="pct"/>
            <w:tcBorders>
              <w:top w:val="single" w:sz="4" w:space="0" w:color="000000"/>
              <w:left w:val="single" w:sz="4" w:space="0" w:color="000000"/>
              <w:bottom w:val="single" w:sz="4" w:space="0" w:color="000000"/>
              <w:right w:val="single" w:sz="4" w:space="0" w:color="000000"/>
            </w:tcBorders>
            <w:vAlign w:val="center"/>
          </w:tcPr>
          <w:p w14:paraId="34C63E9E"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20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9F"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G-LF1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A0" w14:textId="0169ADDD" w:rsidR="009D56D9" w:rsidRPr="00CE59C6" w:rsidRDefault="007579CC" w:rsidP="00CE45B5">
            <w:pPr>
              <w:spacing w:line="259" w:lineRule="auto"/>
              <w:ind w:left="2"/>
              <w:jc w:val="left"/>
              <w:rPr>
                <w:rFonts w:asciiTheme="majorHAnsi" w:hAnsiTheme="majorHAnsi" w:cstheme="majorHAnsi"/>
                <w:sz w:val="20"/>
                <w:szCs w:val="20"/>
              </w:rPr>
            </w:pPr>
            <w:r>
              <w:rPr>
                <w:rFonts w:asciiTheme="majorHAnsi" w:hAnsiTheme="majorHAnsi"/>
                <w:sz w:val="20"/>
                <w:szCs w:val="20"/>
              </w:rPr>
              <w:t>Rritja e kapacitetit të sekuestrimit të karbonit në pyje dhe kullota</w:t>
            </w:r>
          </w:p>
        </w:tc>
        <w:tc>
          <w:tcPr>
            <w:tcW w:w="705" w:type="pct"/>
            <w:tcBorders>
              <w:top w:val="single" w:sz="4" w:space="0" w:color="000000"/>
              <w:left w:val="single" w:sz="4" w:space="0" w:color="000000"/>
              <w:bottom w:val="single" w:sz="4" w:space="0" w:color="000000"/>
              <w:right w:val="single" w:sz="4" w:space="0" w:color="000000"/>
            </w:tcBorders>
          </w:tcPr>
          <w:p w14:paraId="34C63EA1"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Rregullatore;</w:t>
            </w:r>
          </w:p>
          <w:p w14:paraId="34C63EA2"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Financiare;</w:t>
            </w:r>
          </w:p>
          <w:p w14:paraId="34C63EA3"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Promocionale </w:t>
            </w:r>
          </w:p>
        </w:tc>
        <w:tc>
          <w:tcPr>
            <w:tcW w:w="1706" w:type="pct"/>
            <w:vMerge w:val="restart"/>
            <w:tcBorders>
              <w:top w:val="single" w:sz="4" w:space="0" w:color="000000"/>
              <w:left w:val="single" w:sz="4" w:space="0" w:color="000000"/>
              <w:right w:val="single" w:sz="4" w:space="0" w:color="000000"/>
            </w:tcBorders>
            <w:vAlign w:val="center"/>
          </w:tcPr>
          <w:p w14:paraId="34C63EA4"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Fonde shtetërore në vlerën 6,5 milionë euro (në vit, për sektorin e pyjeve, megjithëse nuk specifikohet nga masat)</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A5"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AD" w14:textId="77777777" w:rsidTr="00852E36">
        <w:tblPrEx>
          <w:tblCellMar>
            <w:top w:w="72" w:type="dxa"/>
            <w:right w:w="9" w:type="dxa"/>
          </w:tblCellMar>
        </w:tblPrEx>
        <w:trPr>
          <w:trHeight w:val="53"/>
        </w:trPr>
        <w:tc>
          <w:tcPr>
            <w:tcW w:w="260" w:type="pct"/>
            <w:tcBorders>
              <w:top w:val="single" w:sz="4" w:space="0" w:color="000000"/>
              <w:left w:val="single" w:sz="4" w:space="0" w:color="000000"/>
              <w:bottom w:val="single" w:sz="4" w:space="0" w:color="000000"/>
              <w:right w:val="single" w:sz="4" w:space="0" w:color="000000"/>
            </w:tcBorders>
            <w:vAlign w:val="center"/>
          </w:tcPr>
          <w:p w14:paraId="34C63EA7"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21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A8"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G-LF2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A9" w14:textId="31C0DAF8" w:rsidR="009D56D9" w:rsidRPr="00CE59C6" w:rsidRDefault="004C7D6C"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Përmirësimi i menaxhimit të pyjeve </w:t>
            </w:r>
          </w:p>
        </w:tc>
        <w:tc>
          <w:tcPr>
            <w:tcW w:w="705" w:type="pct"/>
            <w:tcBorders>
              <w:top w:val="single" w:sz="4" w:space="0" w:color="000000"/>
              <w:left w:val="single" w:sz="4" w:space="0" w:color="000000"/>
              <w:bottom w:val="single" w:sz="4" w:space="0" w:color="000000"/>
              <w:right w:val="single" w:sz="4" w:space="0" w:color="000000"/>
            </w:tcBorders>
          </w:tcPr>
          <w:p w14:paraId="34C63EAA"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Financiare </w:t>
            </w:r>
          </w:p>
        </w:tc>
        <w:tc>
          <w:tcPr>
            <w:tcW w:w="1706" w:type="pct"/>
            <w:vMerge/>
            <w:tcBorders>
              <w:left w:val="single" w:sz="4" w:space="0" w:color="000000"/>
              <w:bottom w:val="single" w:sz="4" w:space="0" w:color="000000"/>
              <w:right w:val="single" w:sz="4" w:space="0" w:color="000000"/>
            </w:tcBorders>
          </w:tcPr>
          <w:p w14:paraId="34C63EAB" w14:textId="77777777" w:rsidR="009D56D9" w:rsidRPr="00CE59C6" w:rsidRDefault="009D56D9" w:rsidP="00CE45B5">
            <w:pPr>
              <w:spacing w:line="259" w:lineRule="auto"/>
              <w:jc w:val="left"/>
              <w:rPr>
                <w:rFonts w:asciiTheme="majorHAnsi" w:hAnsiTheme="majorHAnsi" w:cstheme="majorHAnsi"/>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4C63EAC"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B5" w14:textId="77777777" w:rsidTr="00852E36">
        <w:tblPrEx>
          <w:tblCellMar>
            <w:top w:w="72" w:type="dxa"/>
            <w:right w:w="9" w:type="dxa"/>
          </w:tblCellMar>
        </w:tblPrEx>
        <w:trPr>
          <w:trHeight w:val="566"/>
        </w:trPr>
        <w:tc>
          <w:tcPr>
            <w:tcW w:w="260" w:type="pct"/>
            <w:tcBorders>
              <w:top w:val="single" w:sz="4" w:space="0" w:color="000000"/>
              <w:left w:val="single" w:sz="4" w:space="0" w:color="000000"/>
              <w:bottom w:val="single" w:sz="4" w:space="0" w:color="000000"/>
              <w:right w:val="single" w:sz="4" w:space="0" w:color="000000"/>
            </w:tcBorders>
            <w:vAlign w:val="center"/>
          </w:tcPr>
          <w:p w14:paraId="34C63EAE"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lastRenderedPageBreak/>
              <w:t xml:space="preserve">22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AF"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R-E1 </w:t>
            </w:r>
          </w:p>
        </w:tc>
        <w:tc>
          <w:tcPr>
            <w:tcW w:w="1381" w:type="pct"/>
            <w:tcBorders>
              <w:top w:val="single" w:sz="4" w:space="0" w:color="000000"/>
              <w:left w:val="single" w:sz="4" w:space="0" w:color="000000"/>
              <w:bottom w:val="single" w:sz="4" w:space="0" w:color="000000"/>
              <w:right w:val="single" w:sz="4" w:space="0" w:color="000000"/>
            </w:tcBorders>
          </w:tcPr>
          <w:p w14:paraId="34C63EB0"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Mekanizmi i tarifës “feed-in” për kapacitetet e vogla të rinovueshme  </w:t>
            </w:r>
          </w:p>
        </w:tc>
        <w:tc>
          <w:tcPr>
            <w:tcW w:w="705" w:type="pct"/>
            <w:tcBorders>
              <w:top w:val="single" w:sz="4" w:space="0" w:color="000000"/>
              <w:left w:val="single" w:sz="4" w:space="0" w:color="000000"/>
              <w:bottom w:val="single" w:sz="4" w:space="0" w:color="000000"/>
              <w:right w:val="single" w:sz="4" w:space="0" w:color="000000"/>
            </w:tcBorders>
          </w:tcPr>
          <w:p w14:paraId="34C63EB1"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Financiare </w:t>
            </w:r>
          </w:p>
        </w:tc>
        <w:tc>
          <w:tcPr>
            <w:tcW w:w="1706" w:type="pct"/>
            <w:vMerge w:val="restart"/>
            <w:tcBorders>
              <w:top w:val="single" w:sz="4" w:space="0" w:color="000000"/>
              <w:left w:val="single" w:sz="4" w:space="0" w:color="000000"/>
              <w:right w:val="single" w:sz="4" w:space="0" w:color="000000"/>
            </w:tcBorders>
            <w:vAlign w:val="center"/>
          </w:tcPr>
          <w:p w14:paraId="34C63EB2" w14:textId="1F9D532A" w:rsidR="009D56D9" w:rsidRPr="009639ED" w:rsidRDefault="009D56D9" w:rsidP="009D56D9">
            <w:pPr>
              <w:spacing w:after="118"/>
              <w:ind w:right="107"/>
              <w:rPr>
                <w:rFonts w:asciiTheme="majorHAnsi" w:hAnsiTheme="majorHAnsi" w:cstheme="majorHAnsi"/>
                <w:sz w:val="20"/>
                <w:szCs w:val="20"/>
              </w:rPr>
            </w:pPr>
            <w:r>
              <w:rPr>
                <w:rFonts w:asciiTheme="majorHAnsi" w:hAnsiTheme="majorHAnsi"/>
                <w:sz w:val="20"/>
                <w:szCs w:val="20"/>
              </w:rPr>
              <w:t xml:space="preserve">Nuk është parashikuar financim nga buxheti i shtetit, pasi kostoja e skemës do të mbulohej nga tarifat e energjisë elektrike.  </w:t>
            </w:r>
          </w:p>
          <w:p w14:paraId="34C63EB3" w14:textId="06BC8662"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Megjithatë, ka një ndikim në buxhetin e blerësit, i cili është në pronësi të shtetit.</w:t>
            </w:r>
          </w:p>
        </w:tc>
        <w:tc>
          <w:tcPr>
            <w:tcW w:w="575" w:type="pct"/>
            <w:tcBorders>
              <w:top w:val="single" w:sz="4" w:space="0" w:color="000000"/>
              <w:left w:val="single" w:sz="4" w:space="0" w:color="000000"/>
              <w:bottom w:val="single" w:sz="4" w:space="0" w:color="000000"/>
              <w:right w:val="single" w:sz="4" w:space="0" w:color="000000"/>
            </w:tcBorders>
          </w:tcPr>
          <w:p w14:paraId="34C63EB4"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dhe WAM </w:t>
            </w:r>
          </w:p>
        </w:tc>
      </w:tr>
      <w:tr w:rsidR="009D56D9" w:rsidRPr="00CE59C6" w14:paraId="34C63EBC" w14:textId="77777777" w:rsidTr="00852E36">
        <w:tblPrEx>
          <w:tblCellMar>
            <w:top w:w="72" w:type="dxa"/>
            <w:right w:w="9" w:type="dxa"/>
          </w:tblCellMar>
        </w:tblPrEx>
        <w:trPr>
          <w:trHeight w:val="541"/>
        </w:trPr>
        <w:tc>
          <w:tcPr>
            <w:tcW w:w="260" w:type="pct"/>
            <w:tcBorders>
              <w:top w:val="single" w:sz="4" w:space="0" w:color="000000"/>
              <w:left w:val="single" w:sz="4" w:space="0" w:color="000000"/>
              <w:bottom w:val="single" w:sz="4" w:space="0" w:color="000000"/>
              <w:right w:val="single" w:sz="4" w:space="0" w:color="000000"/>
            </w:tcBorders>
            <w:vAlign w:val="center"/>
          </w:tcPr>
          <w:p w14:paraId="34C63EB6"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23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B7"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R-E2 </w:t>
            </w:r>
          </w:p>
        </w:tc>
        <w:tc>
          <w:tcPr>
            <w:tcW w:w="1381" w:type="pct"/>
            <w:tcBorders>
              <w:top w:val="single" w:sz="4" w:space="0" w:color="000000"/>
              <w:left w:val="single" w:sz="4" w:space="0" w:color="000000"/>
              <w:bottom w:val="single" w:sz="4" w:space="0" w:color="000000"/>
              <w:right w:val="single" w:sz="4" w:space="0" w:color="000000"/>
            </w:tcBorders>
          </w:tcPr>
          <w:p w14:paraId="34C63EB8" w14:textId="2FECEB42"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Ankandet për kapacitetet e reja të energjisë së rinovueshme (eolike dhe diellore) dhe ruajtjen; Miratimi i planit trevjeçar të ankandit </w:t>
            </w:r>
          </w:p>
        </w:tc>
        <w:tc>
          <w:tcPr>
            <w:tcW w:w="705" w:type="pct"/>
            <w:tcBorders>
              <w:top w:val="single" w:sz="4" w:space="0" w:color="000000"/>
              <w:left w:val="single" w:sz="4" w:space="0" w:color="000000"/>
              <w:bottom w:val="single" w:sz="4" w:space="0" w:color="000000"/>
              <w:right w:val="single" w:sz="4" w:space="0" w:color="000000"/>
            </w:tcBorders>
          </w:tcPr>
          <w:p w14:paraId="34C63EB9"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Financiare </w:t>
            </w:r>
          </w:p>
        </w:tc>
        <w:tc>
          <w:tcPr>
            <w:tcW w:w="1706" w:type="pct"/>
            <w:vMerge/>
            <w:tcBorders>
              <w:left w:val="single" w:sz="4" w:space="0" w:color="000000"/>
              <w:bottom w:val="single" w:sz="4" w:space="0" w:color="000000"/>
              <w:right w:val="single" w:sz="4" w:space="0" w:color="000000"/>
            </w:tcBorders>
          </w:tcPr>
          <w:p w14:paraId="34C63EBA" w14:textId="77777777" w:rsidR="009D56D9" w:rsidRPr="00CE59C6" w:rsidRDefault="009D56D9" w:rsidP="00CE45B5">
            <w:pPr>
              <w:spacing w:line="259" w:lineRule="auto"/>
              <w:jc w:val="left"/>
              <w:rPr>
                <w:rFonts w:asciiTheme="majorHAnsi" w:hAnsiTheme="majorHAnsi" w:cstheme="majorHAnsi"/>
                <w:sz w:val="20"/>
                <w:szCs w:val="20"/>
              </w:rPr>
            </w:pPr>
          </w:p>
        </w:tc>
        <w:tc>
          <w:tcPr>
            <w:tcW w:w="575" w:type="pct"/>
            <w:tcBorders>
              <w:top w:val="single" w:sz="4" w:space="0" w:color="000000"/>
              <w:left w:val="single" w:sz="4" w:space="0" w:color="000000"/>
              <w:bottom w:val="single" w:sz="4" w:space="0" w:color="000000"/>
              <w:right w:val="single" w:sz="4" w:space="0" w:color="000000"/>
            </w:tcBorders>
          </w:tcPr>
          <w:p w14:paraId="34C63EBB"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dhe WAM </w:t>
            </w:r>
          </w:p>
        </w:tc>
      </w:tr>
      <w:tr w:rsidR="009D56D9" w:rsidRPr="00CE59C6" w14:paraId="34C63EC3" w14:textId="77777777" w:rsidTr="00852E36">
        <w:tblPrEx>
          <w:tblCellMar>
            <w:top w:w="72" w:type="dxa"/>
            <w:right w:w="9" w:type="dxa"/>
          </w:tblCellMar>
        </w:tblPrEx>
        <w:trPr>
          <w:trHeight w:val="540"/>
        </w:trPr>
        <w:tc>
          <w:tcPr>
            <w:tcW w:w="260" w:type="pct"/>
            <w:tcBorders>
              <w:top w:val="single" w:sz="4" w:space="0" w:color="000000"/>
              <w:left w:val="single" w:sz="4" w:space="0" w:color="000000"/>
              <w:bottom w:val="single" w:sz="4" w:space="0" w:color="000000"/>
              <w:right w:val="single" w:sz="4" w:space="0" w:color="000000"/>
            </w:tcBorders>
            <w:vAlign w:val="center"/>
          </w:tcPr>
          <w:p w14:paraId="34C63EBD"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24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BE"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R-E3 </w:t>
            </w:r>
          </w:p>
        </w:tc>
        <w:tc>
          <w:tcPr>
            <w:tcW w:w="1381" w:type="pct"/>
            <w:tcBorders>
              <w:top w:val="single" w:sz="4" w:space="0" w:color="000000"/>
              <w:left w:val="single" w:sz="4" w:space="0" w:color="000000"/>
              <w:bottom w:val="single" w:sz="4" w:space="0" w:color="000000"/>
              <w:right w:val="single" w:sz="4" w:space="0" w:color="000000"/>
            </w:tcBorders>
          </w:tcPr>
          <w:p w14:paraId="34C63EBF"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Planifikimi hapësinor për energjinë (zonimi energjetik) për rritjen e përqindjes së energjisë së rinovueshme dhe përmirësimin e efiçencës së energjisë </w:t>
            </w:r>
          </w:p>
        </w:tc>
        <w:tc>
          <w:tcPr>
            <w:tcW w:w="705" w:type="pct"/>
            <w:tcBorders>
              <w:top w:val="single" w:sz="4" w:space="0" w:color="000000"/>
              <w:left w:val="single" w:sz="4" w:space="0" w:color="000000"/>
              <w:bottom w:val="single" w:sz="4" w:space="0" w:color="000000"/>
              <w:right w:val="single" w:sz="4" w:space="0" w:color="000000"/>
            </w:tcBorders>
          </w:tcPr>
          <w:p w14:paraId="34C63EC0"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Teknike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C1" w14:textId="77777777"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Rreth 0,5 milionë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C2"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CA" w14:textId="77777777" w:rsidTr="00852E36">
        <w:tblPrEx>
          <w:tblCellMar>
            <w:top w:w="72" w:type="dxa"/>
            <w:right w:w="9"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EC4"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25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C5"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R-E4 </w:t>
            </w:r>
          </w:p>
        </w:tc>
        <w:tc>
          <w:tcPr>
            <w:tcW w:w="1381" w:type="pct"/>
            <w:tcBorders>
              <w:top w:val="single" w:sz="4" w:space="0" w:color="000000"/>
              <w:left w:val="single" w:sz="4" w:space="0" w:color="000000"/>
              <w:bottom w:val="single" w:sz="4" w:space="0" w:color="000000"/>
              <w:right w:val="single" w:sz="4" w:space="0" w:color="000000"/>
            </w:tcBorders>
          </w:tcPr>
          <w:p w14:paraId="34C63EC6"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Mekanizmi i matjes së energjisë neto për instalimet deri në 500 kW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EC7"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C8" w14:textId="142A29D8" w:rsidR="009D56D9" w:rsidRPr="00CE59C6" w:rsidRDefault="009D56D9" w:rsidP="009D56D9">
            <w:pPr>
              <w:spacing w:line="259" w:lineRule="auto"/>
              <w:jc w:val="left"/>
              <w:rPr>
                <w:rFonts w:asciiTheme="majorHAnsi" w:hAnsiTheme="majorHAnsi" w:cstheme="majorHAnsi"/>
                <w:sz w:val="20"/>
                <w:szCs w:val="20"/>
              </w:rPr>
            </w:pPr>
            <w:r>
              <w:rPr>
                <w:rFonts w:asciiTheme="majorHAnsi" w:hAnsiTheme="majorHAnsi"/>
                <w:sz w:val="20"/>
                <w:szCs w:val="20"/>
              </w:rPr>
              <w:t>Nuk është parashikuar financim nga buxheti i shtetit, pasi kostoja e skemës do të mbulohej nga tarifat e energjisë elektrike.</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C9"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D1" w14:textId="77777777" w:rsidTr="00852E36">
        <w:tblPrEx>
          <w:tblCellMar>
            <w:top w:w="72" w:type="dxa"/>
            <w:right w:w="9" w:type="dxa"/>
          </w:tblCellMar>
        </w:tblPrEx>
        <w:trPr>
          <w:trHeight w:val="761"/>
        </w:trPr>
        <w:tc>
          <w:tcPr>
            <w:tcW w:w="260" w:type="pct"/>
            <w:tcBorders>
              <w:top w:val="single" w:sz="4" w:space="0" w:color="000000"/>
              <w:left w:val="single" w:sz="4" w:space="0" w:color="000000"/>
              <w:bottom w:val="single" w:sz="4" w:space="0" w:color="000000"/>
              <w:right w:val="single" w:sz="4" w:space="0" w:color="000000"/>
            </w:tcBorders>
            <w:vAlign w:val="center"/>
          </w:tcPr>
          <w:p w14:paraId="34C63ECB"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26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CC"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R-E5 </w:t>
            </w:r>
          </w:p>
        </w:tc>
        <w:tc>
          <w:tcPr>
            <w:tcW w:w="1381" w:type="pct"/>
            <w:tcBorders>
              <w:top w:val="single" w:sz="4" w:space="0" w:color="000000"/>
              <w:left w:val="single" w:sz="4" w:space="0" w:color="000000"/>
              <w:bottom w:val="single" w:sz="4" w:space="0" w:color="000000"/>
              <w:right w:val="single" w:sz="4" w:space="0" w:color="000000"/>
            </w:tcBorders>
          </w:tcPr>
          <w:p w14:paraId="34C63ECD" w14:textId="77777777" w:rsidR="009D56D9" w:rsidRPr="00CE59C6" w:rsidRDefault="009D56D9" w:rsidP="00CE45B5">
            <w:pPr>
              <w:spacing w:line="259" w:lineRule="auto"/>
              <w:ind w:left="2" w:right="25"/>
              <w:jc w:val="left"/>
              <w:rPr>
                <w:rFonts w:asciiTheme="majorHAnsi" w:hAnsiTheme="majorHAnsi" w:cstheme="majorHAnsi"/>
                <w:sz w:val="20"/>
                <w:szCs w:val="20"/>
              </w:rPr>
            </w:pPr>
            <w:r>
              <w:rPr>
                <w:rFonts w:asciiTheme="majorHAnsi" w:hAnsiTheme="majorHAnsi"/>
                <w:sz w:val="20"/>
                <w:szCs w:val="20"/>
              </w:rPr>
              <w:t xml:space="preserve">Rrjet elektrik i fuqishëm për të përballuar rritjen e kapacitetit të energjisë së rinovueshme, investime në kapacitetin e energjisë së rinovueshme në tregun e lirë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ECE"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Financiare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CF" w14:textId="4EA97F6F" w:rsidR="009D56D9" w:rsidRPr="00CE59C6" w:rsidRDefault="00E5411F" w:rsidP="009D56D9">
            <w:pPr>
              <w:spacing w:line="259" w:lineRule="auto"/>
              <w:jc w:val="left"/>
              <w:rPr>
                <w:rFonts w:asciiTheme="majorHAnsi" w:hAnsiTheme="majorHAnsi" w:cstheme="majorHAnsi"/>
                <w:sz w:val="20"/>
                <w:szCs w:val="20"/>
              </w:rPr>
            </w:pPr>
            <w:r>
              <w:rPr>
                <w:rFonts w:asciiTheme="majorHAnsi" w:hAnsiTheme="majorHAnsi"/>
                <w:sz w:val="20"/>
                <w:szCs w:val="20"/>
              </w:rPr>
              <w:t>Sipas disa vlerësimeve paraprake, për rinovimin e rrjetit të shpërndarjes për një përballim më të mirë të injektimit të ndryshueshëm të energjisë së rinovueshme në terma afatshkurtër nevojiten rreth 40 deri në 80 milionë euro investime.</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D0"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D8" w14:textId="77777777" w:rsidTr="00852E36">
        <w:tblPrEx>
          <w:tblCellMar>
            <w:top w:w="72" w:type="dxa"/>
            <w:right w:w="9" w:type="dxa"/>
          </w:tblCellMar>
        </w:tblPrEx>
        <w:trPr>
          <w:trHeight w:val="528"/>
        </w:trPr>
        <w:tc>
          <w:tcPr>
            <w:tcW w:w="260" w:type="pct"/>
            <w:tcBorders>
              <w:top w:val="single" w:sz="4" w:space="0" w:color="000000"/>
              <w:left w:val="single" w:sz="4" w:space="0" w:color="000000"/>
              <w:bottom w:val="single" w:sz="4" w:space="0" w:color="000000"/>
              <w:right w:val="single" w:sz="4" w:space="0" w:color="000000"/>
            </w:tcBorders>
            <w:vAlign w:val="center"/>
          </w:tcPr>
          <w:p w14:paraId="34C63ED2"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27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D3"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R-E6 </w:t>
            </w:r>
          </w:p>
        </w:tc>
        <w:tc>
          <w:tcPr>
            <w:tcW w:w="1381" w:type="pct"/>
            <w:tcBorders>
              <w:top w:val="single" w:sz="4" w:space="0" w:color="000000"/>
              <w:left w:val="single" w:sz="4" w:space="0" w:color="000000"/>
              <w:bottom w:val="single" w:sz="4" w:space="0" w:color="000000"/>
              <w:right w:val="single" w:sz="4" w:space="0" w:color="000000"/>
            </w:tcBorders>
          </w:tcPr>
          <w:p w14:paraId="34C63ED4"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Lehtësimi i lidhjes rregullatore dhe fizike me rrjetin elektrik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ED5"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D6" w14:textId="77777777" w:rsidR="009D56D9" w:rsidRPr="00CE59C6" w:rsidRDefault="00E5411F" w:rsidP="00E5411F">
            <w:pPr>
              <w:spacing w:line="259" w:lineRule="auto"/>
              <w:jc w:val="left"/>
              <w:rPr>
                <w:rFonts w:asciiTheme="majorHAnsi" w:hAnsiTheme="majorHAnsi" w:cstheme="majorHAnsi"/>
                <w:sz w:val="20"/>
                <w:szCs w:val="20"/>
              </w:rPr>
            </w:pPr>
            <w:r>
              <w:rPr>
                <w:rFonts w:asciiTheme="majorHAnsi" w:hAnsiTheme="majorHAnsi"/>
                <w:sz w:val="20"/>
                <w:szCs w:val="20"/>
              </w:rPr>
              <w:t>Nuk është parashikuar buxhet, pasi bëhet fjalë kryesisht për masa rregullatore</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D7"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DF" w14:textId="77777777" w:rsidTr="00852E36">
        <w:tblPrEx>
          <w:tblCellMar>
            <w:top w:w="72" w:type="dxa"/>
            <w:right w:w="9"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ED9"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28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DA"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R-E7 </w:t>
            </w:r>
          </w:p>
        </w:tc>
        <w:tc>
          <w:tcPr>
            <w:tcW w:w="1381" w:type="pct"/>
            <w:tcBorders>
              <w:top w:val="single" w:sz="4" w:space="0" w:color="000000"/>
              <w:left w:val="single" w:sz="4" w:space="0" w:color="000000"/>
              <w:bottom w:val="single" w:sz="4" w:space="0" w:color="000000"/>
              <w:right w:val="single" w:sz="4" w:space="0" w:color="000000"/>
            </w:tcBorders>
          </w:tcPr>
          <w:p w14:paraId="34C63EDB"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Menaxhimi i krahut të kërkesës dhe sistemet e rezervave të energjisë elektrike për fleksibilitet të rrjetit elektrik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EDC"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DD" w14:textId="77777777" w:rsidR="009D56D9" w:rsidRPr="00CE59C6" w:rsidRDefault="00E5411F" w:rsidP="00E5411F">
            <w:pPr>
              <w:spacing w:line="259" w:lineRule="auto"/>
              <w:jc w:val="left"/>
              <w:rPr>
                <w:rFonts w:asciiTheme="majorHAnsi" w:hAnsiTheme="majorHAnsi" w:cstheme="majorHAnsi"/>
                <w:sz w:val="20"/>
                <w:szCs w:val="20"/>
              </w:rPr>
            </w:pPr>
            <w:r>
              <w:rPr>
                <w:rFonts w:asciiTheme="majorHAnsi" w:hAnsiTheme="majorHAnsi"/>
                <w:sz w:val="20"/>
                <w:szCs w:val="20"/>
              </w:rPr>
              <w:t>Asistenca teknike përllogaritet në 150 mijë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DE"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E6" w14:textId="77777777" w:rsidTr="00852E36">
        <w:tblPrEx>
          <w:tblCellMar>
            <w:top w:w="72" w:type="dxa"/>
            <w:right w:w="9" w:type="dxa"/>
          </w:tblCellMar>
        </w:tblPrEx>
        <w:trPr>
          <w:trHeight w:val="300"/>
        </w:trPr>
        <w:tc>
          <w:tcPr>
            <w:tcW w:w="260" w:type="pct"/>
            <w:tcBorders>
              <w:top w:val="single" w:sz="4" w:space="0" w:color="000000"/>
              <w:left w:val="single" w:sz="4" w:space="0" w:color="000000"/>
              <w:bottom w:val="single" w:sz="4" w:space="0" w:color="000000"/>
              <w:right w:val="single" w:sz="4" w:space="0" w:color="000000"/>
            </w:tcBorders>
          </w:tcPr>
          <w:p w14:paraId="34C63EE0"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29 </w:t>
            </w:r>
          </w:p>
        </w:tc>
        <w:tc>
          <w:tcPr>
            <w:tcW w:w="373" w:type="pct"/>
            <w:tcBorders>
              <w:top w:val="single" w:sz="4" w:space="0" w:color="000000"/>
              <w:left w:val="single" w:sz="4" w:space="0" w:color="000000"/>
              <w:bottom w:val="single" w:sz="4" w:space="0" w:color="000000"/>
              <w:right w:val="single" w:sz="4" w:space="0" w:color="000000"/>
            </w:tcBorders>
          </w:tcPr>
          <w:p w14:paraId="34C63EE1"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R-E8 </w:t>
            </w:r>
          </w:p>
        </w:tc>
        <w:tc>
          <w:tcPr>
            <w:tcW w:w="1381" w:type="pct"/>
            <w:tcBorders>
              <w:top w:val="single" w:sz="4" w:space="0" w:color="000000"/>
              <w:left w:val="single" w:sz="4" w:space="0" w:color="000000"/>
              <w:bottom w:val="single" w:sz="4" w:space="0" w:color="000000"/>
              <w:right w:val="single" w:sz="4" w:space="0" w:color="000000"/>
            </w:tcBorders>
          </w:tcPr>
          <w:p w14:paraId="34C63EE2"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Strategjia e matjes dhe digjitalizimi i sektorit të energjisë </w:t>
            </w:r>
          </w:p>
        </w:tc>
        <w:tc>
          <w:tcPr>
            <w:tcW w:w="705" w:type="pct"/>
            <w:tcBorders>
              <w:top w:val="single" w:sz="4" w:space="0" w:color="000000"/>
              <w:left w:val="single" w:sz="4" w:space="0" w:color="000000"/>
              <w:bottom w:val="single" w:sz="4" w:space="0" w:color="000000"/>
              <w:right w:val="single" w:sz="4" w:space="0" w:color="000000"/>
            </w:tcBorders>
          </w:tcPr>
          <w:p w14:paraId="34C63EE3"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E4" w14:textId="4830B154" w:rsidR="009D56D9" w:rsidRPr="00CE59C6" w:rsidRDefault="00E5411F" w:rsidP="00A33B47">
            <w:pPr>
              <w:ind w:left="2"/>
              <w:jc w:val="left"/>
              <w:rPr>
                <w:rFonts w:asciiTheme="majorHAnsi" w:hAnsiTheme="majorHAnsi" w:cstheme="majorHAnsi"/>
                <w:sz w:val="20"/>
                <w:szCs w:val="20"/>
              </w:rPr>
            </w:pPr>
            <w:r>
              <w:rPr>
                <w:rFonts w:asciiTheme="majorHAnsi" w:hAnsiTheme="majorHAnsi"/>
                <w:sz w:val="20"/>
                <w:szCs w:val="20"/>
              </w:rPr>
              <w:t>Sipas strategjisë së matjes, investimi afatmesëm i nevojshëm vlerësohet në 3691 milionë lekë (përafërsisht 29,5 milionë euro).</w:t>
            </w:r>
          </w:p>
        </w:tc>
        <w:tc>
          <w:tcPr>
            <w:tcW w:w="575" w:type="pct"/>
            <w:tcBorders>
              <w:top w:val="single" w:sz="4" w:space="0" w:color="000000"/>
              <w:left w:val="single" w:sz="4" w:space="0" w:color="000000"/>
              <w:bottom w:val="single" w:sz="4" w:space="0" w:color="000000"/>
              <w:right w:val="single" w:sz="4" w:space="0" w:color="000000"/>
            </w:tcBorders>
          </w:tcPr>
          <w:p w14:paraId="34C63EE5"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EF0" w14:textId="77777777" w:rsidTr="00852E36">
        <w:tblPrEx>
          <w:tblCellMar>
            <w:top w:w="72" w:type="dxa"/>
            <w:right w:w="9" w:type="dxa"/>
          </w:tblCellMar>
        </w:tblPrEx>
        <w:trPr>
          <w:trHeight w:val="821"/>
        </w:trPr>
        <w:tc>
          <w:tcPr>
            <w:tcW w:w="260" w:type="pct"/>
            <w:tcBorders>
              <w:top w:val="single" w:sz="4" w:space="0" w:color="000000"/>
              <w:left w:val="single" w:sz="4" w:space="0" w:color="000000"/>
              <w:bottom w:val="single" w:sz="4" w:space="0" w:color="000000"/>
              <w:right w:val="single" w:sz="4" w:space="0" w:color="000000"/>
            </w:tcBorders>
            <w:vAlign w:val="center"/>
          </w:tcPr>
          <w:p w14:paraId="34C63EE7"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lastRenderedPageBreak/>
              <w:t xml:space="preserve">30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E8"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R-E9 </w:t>
            </w:r>
          </w:p>
        </w:tc>
        <w:tc>
          <w:tcPr>
            <w:tcW w:w="1381" w:type="pct"/>
            <w:tcBorders>
              <w:top w:val="single" w:sz="4" w:space="0" w:color="000000"/>
              <w:left w:val="single" w:sz="4" w:space="0" w:color="000000"/>
              <w:bottom w:val="single" w:sz="4" w:space="0" w:color="000000"/>
              <w:right w:val="single" w:sz="4" w:space="0" w:color="000000"/>
            </w:tcBorders>
          </w:tcPr>
          <w:p w14:paraId="34C63EE9" w14:textId="77777777" w:rsidR="009D56D9" w:rsidRPr="00CE59C6" w:rsidRDefault="009D56D9" w:rsidP="00CE45B5">
            <w:pPr>
              <w:spacing w:after="60"/>
              <w:ind w:left="2"/>
              <w:jc w:val="left"/>
              <w:rPr>
                <w:rFonts w:asciiTheme="majorHAnsi" w:hAnsiTheme="majorHAnsi" w:cstheme="majorHAnsi"/>
                <w:sz w:val="20"/>
                <w:szCs w:val="20"/>
              </w:rPr>
            </w:pPr>
            <w:r>
              <w:rPr>
                <w:rFonts w:asciiTheme="majorHAnsi" w:hAnsiTheme="majorHAnsi"/>
                <w:sz w:val="20"/>
                <w:szCs w:val="20"/>
              </w:rPr>
              <w:t xml:space="preserve">Mbështetja për formimin e komuniteteve të energjisë së rinovueshme  </w:t>
            </w:r>
          </w:p>
          <w:p w14:paraId="34C63EEA" w14:textId="77777777" w:rsidR="009D56D9" w:rsidRPr="00CE59C6" w:rsidRDefault="009D56D9" w:rsidP="00CE45B5">
            <w:pPr>
              <w:spacing w:line="259" w:lineRule="auto"/>
              <w:ind w:left="2"/>
              <w:jc w:val="left"/>
              <w:rPr>
                <w:rFonts w:asciiTheme="majorHAnsi" w:hAnsiTheme="majorHAnsi" w:cstheme="majorHAnsi"/>
                <w:sz w:val="20"/>
                <w:szCs w:val="20"/>
              </w:rPr>
            </w:pPr>
          </w:p>
        </w:tc>
        <w:tc>
          <w:tcPr>
            <w:tcW w:w="705" w:type="pct"/>
            <w:tcBorders>
              <w:top w:val="single" w:sz="4" w:space="0" w:color="000000"/>
              <w:left w:val="single" w:sz="4" w:space="0" w:color="000000"/>
              <w:bottom w:val="single" w:sz="4" w:space="0" w:color="000000"/>
              <w:right w:val="single" w:sz="4" w:space="0" w:color="000000"/>
            </w:tcBorders>
          </w:tcPr>
          <w:p w14:paraId="34C63EEB" w14:textId="4DA7F127" w:rsidR="009D56D9" w:rsidRPr="00CE59C6" w:rsidRDefault="00FA7B24" w:rsidP="00CE45B5">
            <w:pPr>
              <w:spacing w:line="259" w:lineRule="auto"/>
              <w:ind w:left="2"/>
              <w:jc w:val="left"/>
              <w:rPr>
                <w:rFonts w:asciiTheme="majorHAnsi" w:hAnsiTheme="majorHAnsi" w:cstheme="majorHAnsi"/>
                <w:sz w:val="20"/>
                <w:szCs w:val="20"/>
              </w:rPr>
            </w:pPr>
            <w:r>
              <w:rPr>
                <w:rFonts w:asciiTheme="majorHAnsi" w:hAnsiTheme="majorHAnsi"/>
                <w:sz w:val="20"/>
                <w:szCs w:val="20"/>
              </w:rPr>
              <w:t>Rregullatore.</w:t>
            </w:r>
          </w:p>
          <w:p w14:paraId="34C63EEC" w14:textId="273233AF" w:rsidR="009D56D9" w:rsidRPr="00CE59C6" w:rsidRDefault="00C51392"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Organizative, </w:t>
            </w:r>
          </w:p>
          <w:p w14:paraId="34C63EED"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Promocionale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EE" w14:textId="77777777" w:rsidR="009D56D9" w:rsidRPr="00CE59C6" w:rsidRDefault="00E5411F" w:rsidP="00E5411F">
            <w:pPr>
              <w:spacing w:line="259" w:lineRule="auto"/>
              <w:jc w:val="left"/>
              <w:rPr>
                <w:rFonts w:asciiTheme="majorHAnsi" w:hAnsiTheme="majorHAnsi" w:cstheme="majorHAnsi"/>
                <w:sz w:val="20"/>
                <w:szCs w:val="20"/>
              </w:rPr>
            </w:pPr>
            <w:r>
              <w:rPr>
                <w:rFonts w:asciiTheme="majorHAnsi" w:hAnsiTheme="majorHAnsi"/>
                <w:sz w:val="20"/>
                <w:szCs w:val="20"/>
              </w:rPr>
              <w:t>Programi i Asistencës Teknike, rreth 150.000 euro. Mbështetja për projektet pilot me komunitetet e përzgjedhura të energjisë së rinovueshme do të financohet nga një Program i Asistencës Teknike, me një buxhet të parashikuar prej 20 000 eurosh për komunitet të energjisë së rinovueshme</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EF"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F8" w14:textId="77777777" w:rsidTr="00852E36">
        <w:tblPrEx>
          <w:tblCellMar>
            <w:top w:w="72" w:type="dxa"/>
            <w:right w:w="9"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EF1"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31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F2"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R-E10 </w:t>
            </w:r>
          </w:p>
        </w:tc>
        <w:tc>
          <w:tcPr>
            <w:tcW w:w="1381" w:type="pct"/>
            <w:tcBorders>
              <w:top w:val="single" w:sz="4" w:space="0" w:color="000000"/>
              <w:left w:val="single" w:sz="4" w:space="0" w:color="000000"/>
              <w:bottom w:val="single" w:sz="4" w:space="0" w:color="000000"/>
              <w:right w:val="single" w:sz="4" w:space="0" w:color="000000"/>
            </w:tcBorders>
          </w:tcPr>
          <w:p w14:paraId="34C63EF3" w14:textId="77777777" w:rsidR="009D56D9" w:rsidRPr="00CE59C6" w:rsidRDefault="009D56D9" w:rsidP="00113048">
            <w:pPr>
              <w:spacing w:line="259" w:lineRule="auto"/>
              <w:ind w:left="2" w:right="29"/>
              <w:jc w:val="left"/>
              <w:rPr>
                <w:rFonts w:asciiTheme="majorHAnsi" w:hAnsiTheme="majorHAnsi" w:cstheme="majorHAnsi"/>
                <w:sz w:val="20"/>
                <w:szCs w:val="20"/>
              </w:rPr>
            </w:pPr>
            <w:r>
              <w:rPr>
                <w:rFonts w:asciiTheme="majorHAnsi" w:hAnsiTheme="majorHAnsi"/>
                <w:sz w:val="20"/>
                <w:szCs w:val="20"/>
              </w:rPr>
              <w:t xml:space="preserve">Pjesëmarrja në një sistem rajonal për garancinë e origjinës (GO) </w:t>
            </w:r>
          </w:p>
        </w:tc>
        <w:tc>
          <w:tcPr>
            <w:tcW w:w="705" w:type="pct"/>
            <w:tcBorders>
              <w:top w:val="single" w:sz="4" w:space="0" w:color="000000"/>
              <w:left w:val="single" w:sz="4" w:space="0" w:color="000000"/>
              <w:bottom w:val="single" w:sz="4" w:space="0" w:color="000000"/>
              <w:right w:val="single" w:sz="4" w:space="0" w:color="000000"/>
            </w:tcBorders>
          </w:tcPr>
          <w:p w14:paraId="34C63EF4" w14:textId="08F21016" w:rsidR="009D56D9" w:rsidRPr="00CE59C6" w:rsidRDefault="00FA7B24" w:rsidP="00113048">
            <w:pPr>
              <w:spacing w:before="0" w:line="259" w:lineRule="auto"/>
              <w:ind w:left="2"/>
              <w:jc w:val="left"/>
              <w:rPr>
                <w:rFonts w:asciiTheme="majorHAnsi" w:hAnsiTheme="majorHAnsi" w:cstheme="majorHAnsi"/>
                <w:sz w:val="20"/>
                <w:szCs w:val="20"/>
              </w:rPr>
            </w:pPr>
            <w:r>
              <w:rPr>
                <w:rFonts w:asciiTheme="majorHAnsi" w:hAnsiTheme="majorHAnsi"/>
                <w:sz w:val="20"/>
                <w:szCs w:val="20"/>
              </w:rPr>
              <w:t>Rregullatore.</w:t>
            </w:r>
          </w:p>
          <w:p w14:paraId="34C63EF5" w14:textId="39E3A570" w:rsidR="009D56D9" w:rsidRPr="00CE59C6" w:rsidRDefault="00C51392" w:rsidP="00113048">
            <w:pPr>
              <w:spacing w:before="0" w:line="259" w:lineRule="auto"/>
              <w:ind w:left="2"/>
              <w:jc w:val="left"/>
              <w:rPr>
                <w:rFonts w:asciiTheme="majorHAnsi" w:hAnsiTheme="majorHAnsi" w:cstheme="majorHAnsi"/>
                <w:sz w:val="20"/>
                <w:szCs w:val="20"/>
              </w:rPr>
            </w:pPr>
            <w:r>
              <w:rPr>
                <w:rFonts w:asciiTheme="majorHAnsi" w:hAnsiTheme="majorHAnsi"/>
                <w:sz w:val="20"/>
                <w:szCs w:val="20"/>
              </w:rPr>
              <w:t>Organizative</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F6" w14:textId="77777777" w:rsidR="009D56D9" w:rsidRPr="00CE59C6" w:rsidRDefault="00E5411F" w:rsidP="00E5411F">
            <w:pPr>
              <w:spacing w:line="259" w:lineRule="auto"/>
              <w:jc w:val="left"/>
              <w:rPr>
                <w:rFonts w:asciiTheme="majorHAnsi" w:hAnsiTheme="majorHAnsi" w:cstheme="majorHAnsi"/>
                <w:sz w:val="20"/>
                <w:szCs w:val="20"/>
              </w:rPr>
            </w:pPr>
            <w:r>
              <w:rPr>
                <w:rFonts w:asciiTheme="majorHAnsi" w:hAnsiTheme="majorHAnsi"/>
                <w:sz w:val="20"/>
                <w:szCs w:val="20"/>
              </w:rPr>
              <w:t>Do të përcaktohet në vazhdim</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F7" w14:textId="02BF880E"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EFF" w14:textId="77777777" w:rsidTr="00852E36">
        <w:tblPrEx>
          <w:tblCellMar>
            <w:top w:w="72" w:type="dxa"/>
            <w:right w:w="9" w:type="dxa"/>
          </w:tblCellMar>
        </w:tblPrEx>
        <w:trPr>
          <w:trHeight w:val="528"/>
        </w:trPr>
        <w:tc>
          <w:tcPr>
            <w:tcW w:w="260" w:type="pct"/>
            <w:tcBorders>
              <w:top w:val="single" w:sz="4" w:space="0" w:color="000000"/>
              <w:left w:val="single" w:sz="4" w:space="0" w:color="000000"/>
              <w:bottom w:val="single" w:sz="4" w:space="0" w:color="000000"/>
              <w:right w:val="single" w:sz="4" w:space="0" w:color="000000"/>
            </w:tcBorders>
            <w:vAlign w:val="center"/>
          </w:tcPr>
          <w:p w14:paraId="34C63EF9"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32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EFA"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R-E11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EFB"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Hartat e nxehtësisë  </w:t>
            </w:r>
          </w:p>
        </w:tc>
        <w:tc>
          <w:tcPr>
            <w:tcW w:w="705" w:type="pct"/>
            <w:tcBorders>
              <w:top w:val="single" w:sz="4" w:space="0" w:color="000000"/>
              <w:left w:val="single" w:sz="4" w:space="0" w:color="000000"/>
              <w:bottom w:val="single" w:sz="4" w:space="0" w:color="000000"/>
              <w:right w:val="single" w:sz="4" w:space="0" w:color="000000"/>
            </w:tcBorders>
          </w:tcPr>
          <w:p w14:paraId="34C63EFC"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Informuese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EFD" w14:textId="77777777" w:rsidR="009D56D9" w:rsidRPr="00CE59C6" w:rsidRDefault="00E5411F" w:rsidP="00E5411F">
            <w:pPr>
              <w:spacing w:line="259" w:lineRule="auto"/>
              <w:jc w:val="left"/>
              <w:rPr>
                <w:rFonts w:asciiTheme="majorHAnsi" w:hAnsiTheme="majorHAnsi" w:cstheme="majorHAnsi"/>
                <w:sz w:val="20"/>
                <w:szCs w:val="20"/>
              </w:rPr>
            </w:pPr>
            <w:r>
              <w:rPr>
                <w:rFonts w:asciiTheme="majorHAnsi" w:hAnsiTheme="majorHAnsi"/>
                <w:sz w:val="20"/>
                <w:szCs w:val="20"/>
              </w:rPr>
              <w:t>Përllogaritur në 0,5 milionë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EFE"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06" w14:textId="77777777" w:rsidTr="00852E36">
        <w:tblPrEx>
          <w:tblCellMar>
            <w:top w:w="72" w:type="dxa"/>
            <w:right w:w="9" w:type="dxa"/>
          </w:tblCellMar>
        </w:tblPrEx>
        <w:trPr>
          <w:trHeight w:val="444"/>
        </w:trPr>
        <w:tc>
          <w:tcPr>
            <w:tcW w:w="260" w:type="pct"/>
            <w:tcBorders>
              <w:top w:val="single" w:sz="4" w:space="0" w:color="000000"/>
              <w:left w:val="single" w:sz="4" w:space="0" w:color="000000"/>
              <w:bottom w:val="single" w:sz="4" w:space="0" w:color="000000"/>
              <w:right w:val="single" w:sz="4" w:space="0" w:color="000000"/>
            </w:tcBorders>
          </w:tcPr>
          <w:p w14:paraId="34C63F00"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33 </w:t>
            </w:r>
          </w:p>
        </w:tc>
        <w:tc>
          <w:tcPr>
            <w:tcW w:w="373" w:type="pct"/>
            <w:tcBorders>
              <w:top w:val="single" w:sz="4" w:space="0" w:color="000000"/>
              <w:left w:val="single" w:sz="4" w:space="0" w:color="000000"/>
              <w:bottom w:val="single" w:sz="4" w:space="0" w:color="000000"/>
              <w:right w:val="single" w:sz="4" w:space="0" w:color="000000"/>
            </w:tcBorders>
          </w:tcPr>
          <w:p w14:paraId="34C63F01"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R-T1 </w:t>
            </w:r>
          </w:p>
        </w:tc>
        <w:tc>
          <w:tcPr>
            <w:tcW w:w="1381" w:type="pct"/>
            <w:tcBorders>
              <w:top w:val="single" w:sz="4" w:space="0" w:color="000000"/>
              <w:left w:val="single" w:sz="4" w:space="0" w:color="000000"/>
              <w:bottom w:val="single" w:sz="4" w:space="0" w:color="000000"/>
              <w:right w:val="single" w:sz="4" w:space="0" w:color="000000"/>
            </w:tcBorders>
          </w:tcPr>
          <w:p w14:paraId="34C63F02"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Elektrifikimi i sektorit të transportit </w:t>
            </w:r>
          </w:p>
        </w:tc>
        <w:tc>
          <w:tcPr>
            <w:tcW w:w="705" w:type="pct"/>
            <w:tcBorders>
              <w:top w:val="single" w:sz="4" w:space="0" w:color="000000"/>
              <w:left w:val="single" w:sz="4" w:space="0" w:color="000000"/>
              <w:bottom w:val="single" w:sz="4" w:space="0" w:color="000000"/>
              <w:right w:val="single" w:sz="4" w:space="0" w:color="000000"/>
            </w:tcBorders>
          </w:tcPr>
          <w:p w14:paraId="34C63F03"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04" w14:textId="77777777" w:rsidR="009D56D9" w:rsidRPr="00CE59C6" w:rsidRDefault="00E5411F" w:rsidP="00E5411F">
            <w:pPr>
              <w:spacing w:line="259" w:lineRule="auto"/>
              <w:jc w:val="left"/>
              <w:rPr>
                <w:rFonts w:asciiTheme="majorHAnsi" w:hAnsiTheme="majorHAnsi" w:cstheme="majorHAnsi"/>
                <w:sz w:val="20"/>
                <w:szCs w:val="20"/>
              </w:rPr>
            </w:pPr>
            <w:r>
              <w:rPr>
                <w:rFonts w:asciiTheme="majorHAnsi" w:hAnsiTheme="majorHAnsi"/>
                <w:sz w:val="20"/>
                <w:szCs w:val="20"/>
              </w:rPr>
              <w:t>Kosto për studimin e vlerësimit të politikave dhe rezultateve vlerësohet në 15 000 euro.</w:t>
            </w:r>
          </w:p>
        </w:tc>
        <w:tc>
          <w:tcPr>
            <w:tcW w:w="575" w:type="pct"/>
            <w:tcBorders>
              <w:top w:val="single" w:sz="4" w:space="0" w:color="000000"/>
              <w:left w:val="single" w:sz="4" w:space="0" w:color="000000"/>
              <w:bottom w:val="single" w:sz="4" w:space="0" w:color="000000"/>
              <w:right w:val="single" w:sz="4" w:space="0" w:color="000000"/>
            </w:tcBorders>
          </w:tcPr>
          <w:p w14:paraId="34C63F05"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0D" w14:textId="77777777" w:rsidTr="00852E36">
        <w:tblPrEx>
          <w:tblCellMar>
            <w:top w:w="72" w:type="dxa"/>
            <w:right w:w="9" w:type="dxa"/>
          </w:tblCellMar>
        </w:tblPrEx>
        <w:trPr>
          <w:trHeight w:val="540"/>
        </w:trPr>
        <w:tc>
          <w:tcPr>
            <w:tcW w:w="260" w:type="pct"/>
            <w:tcBorders>
              <w:top w:val="single" w:sz="4" w:space="0" w:color="000000"/>
              <w:left w:val="single" w:sz="4" w:space="0" w:color="000000"/>
              <w:bottom w:val="single" w:sz="4" w:space="0" w:color="000000"/>
              <w:right w:val="single" w:sz="4" w:space="0" w:color="000000"/>
            </w:tcBorders>
            <w:vAlign w:val="center"/>
          </w:tcPr>
          <w:p w14:paraId="34C63F07"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34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08"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R-T2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F09"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Biokarburantet e qëndrueshme/të avancuara </w:t>
            </w:r>
          </w:p>
        </w:tc>
        <w:tc>
          <w:tcPr>
            <w:tcW w:w="705" w:type="pct"/>
            <w:tcBorders>
              <w:top w:val="single" w:sz="4" w:space="0" w:color="000000"/>
              <w:left w:val="single" w:sz="4" w:space="0" w:color="000000"/>
              <w:bottom w:val="single" w:sz="4" w:space="0" w:color="000000"/>
              <w:right w:val="single" w:sz="4" w:space="0" w:color="000000"/>
            </w:tcBorders>
          </w:tcPr>
          <w:p w14:paraId="34C63F0A"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Fiskale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0B" w14:textId="697CC6D1" w:rsidR="009D56D9" w:rsidRPr="00CE59C6" w:rsidRDefault="00E5411F" w:rsidP="00E5411F">
            <w:pPr>
              <w:spacing w:line="259" w:lineRule="auto"/>
              <w:ind w:left="2"/>
              <w:jc w:val="left"/>
              <w:rPr>
                <w:rFonts w:asciiTheme="majorHAnsi" w:hAnsiTheme="majorHAnsi" w:cstheme="majorHAnsi"/>
                <w:sz w:val="20"/>
                <w:szCs w:val="20"/>
              </w:rPr>
            </w:pPr>
            <w:r>
              <w:rPr>
                <w:rFonts w:asciiTheme="majorHAnsi" w:hAnsiTheme="majorHAnsi"/>
                <w:sz w:val="20"/>
                <w:szCs w:val="20"/>
              </w:rPr>
              <w:t>124 000 euro (</w:t>
            </w:r>
            <w:r>
              <w:rPr>
                <w:rFonts w:asciiTheme="majorHAnsi" w:hAnsiTheme="majorHAnsi"/>
                <w:i/>
                <w:iCs/>
                <w:sz w:val="20"/>
                <w:szCs w:val="20"/>
              </w:rPr>
              <w:t>Burimi: Plani Kombëtar i Veprimit për Burimet e Rinovueshme të Energjisë në Shqipëri, 2015-2020</w:t>
            </w:r>
            <w:r>
              <w:rPr>
                <w:rFonts w:asciiTheme="majorHAnsi" w:hAnsiTheme="majorHAnsi"/>
                <w:sz w:val="20"/>
                <w:szCs w:val="20"/>
              </w:rPr>
              <w:t>)</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0C"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14" w14:textId="77777777" w:rsidTr="00852E36">
        <w:tblPrEx>
          <w:tblCellMar>
            <w:top w:w="72" w:type="dxa"/>
            <w:right w:w="9" w:type="dxa"/>
          </w:tblCellMar>
        </w:tblPrEx>
        <w:trPr>
          <w:trHeight w:val="540"/>
        </w:trPr>
        <w:tc>
          <w:tcPr>
            <w:tcW w:w="260" w:type="pct"/>
            <w:tcBorders>
              <w:top w:val="single" w:sz="4" w:space="0" w:color="000000"/>
              <w:left w:val="single" w:sz="4" w:space="0" w:color="000000"/>
              <w:bottom w:val="single" w:sz="4" w:space="0" w:color="000000"/>
              <w:right w:val="single" w:sz="4" w:space="0" w:color="000000"/>
            </w:tcBorders>
            <w:vAlign w:val="center"/>
          </w:tcPr>
          <w:p w14:paraId="34C63F0E"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35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0F"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R-T3 </w:t>
            </w:r>
          </w:p>
        </w:tc>
        <w:tc>
          <w:tcPr>
            <w:tcW w:w="1381" w:type="pct"/>
            <w:tcBorders>
              <w:top w:val="single" w:sz="4" w:space="0" w:color="000000"/>
              <w:left w:val="single" w:sz="4" w:space="0" w:color="000000"/>
              <w:bottom w:val="single" w:sz="4" w:space="0" w:color="000000"/>
              <w:right w:val="single" w:sz="4" w:space="0" w:color="000000"/>
            </w:tcBorders>
          </w:tcPr>
          <w:p w14:paraId="34C63F10" w14:textId="77777777" w:rsidR="009D56D9" w:rsidRPr="00CE59C6" w:rsidRDefault="009D56D9" w:rsidP="00CE45B5">
            <w:pPr>
              <w:spacing w:line="259" w:lineRule="auto"/>
              <w:ind w:left="2" w:right="69"/>
              <w:jc w:val="left"/>
              <w:rPr>
                <w:rFonts w:asciiTheme="majorHAnsi" w:hAnsiTheme="majorHAnsi" w:cstheme="majorHAnsi"/>
                <w:sz w:val="20"/>
                <w:szCs w:val="20"/>
              </w:rPr>
            </w:pPr>
            <w:r>
              <w:rPr>
                <w:rFonts w:asciiTheme="majorHAnsi" w:hAnsiTheme="majorHAnsi"/>
                <w:sz w:val="20"/>
                <w:szCs w:val="20"/>
              </w:rPr>
              <w:t xml:space="preserve">Instalimi i stacioneve të karikimit për automjetet elektrike dhe instalimi i paneleve fotovoltaike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11"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Financiare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12" w14:textId="77777777" w:rsidR="009D56D9" w:rsidRPr="00CE59C6" w:rsidRDefault="00E5411F" w:rsidP="00E5411F">
            <w:pPr>
              <w:spacing w:line="259" w:lineRule="auto"/>
              <w:jc w:val="left"/>
              <w:rPr>
                <w:rFonts w:asciiTheme="majorHAnsi" w:hAnsiTheme="majorHAnsi" w:cstheme="majorHAnsi"/>
                <w:sz w:val="20"/>
                <w:szCs w:val="20"/>
              </w:rPr>
            </w:pPr>
            <w:r>
              <w:rPr>
                <w:rFonts w:asciiTheme="majorHAnsi" w:hAnsiTheme="majorHAnsi"/>
                <w:sz w:val="20"/>
                <w:szCs w:val="20"/>
              </w:rPr>
              <w:t>13,5 milionë euro (</w:t>
            </w:r>
            <w:r>
              <w:rPr>
                <w:rFonts w:asciiTheme="majorHAnsi" w:hAnsiTheme="majorHAnsi"/>
                <w:i/>
                <w:iCs/>
                <w:sz w:val="20"/>
                <w:szCs w:val="20"/>
              </w:rPr>
              <w:t>IPA III Dritarja 3: Agjenda e gjelbër dhe konektiviteti i qëndrueshëm</w:t>
            </w:r>
            <w:r>
              <w:rPr>
                <w:rFonts w:asciiTheme="majorHAnsi" w:hAnsiTheme="majorHAnsi"/>
                <w:sz w:val="20"/>
                <w:szCs w:val="20"/>
              </w:rPr>
              <w:t>)</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13"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1E" w14:textId="77777777" w:rsidTr="00852E36">
        <w:tblPrEx>
          <w:tblCellMar>
            <w:top w:w="72" w:type="dxa"/>
            <w:right w:w="9" w:type="dxa"/>
          </w:tblCellMar>
        </w:tblPrEx>
        <w:trPr>
          <w:trHeight w:val="989"/>
        </w:trPr>
        <w:tc>
          <w:tcPr>
            <w:tcW w:w="260" w:type="pct"/>
            <w:tcBorders>
              <w:top w:val="single" w:sz="4" w:space="0" w:color="000000"/>
              <w:left w:val="single" w:sz="4" w:space="0" w:color="000000"/>
              <w:bottom w:val="single" w:sz="4" w:space="0" w:color="000000"/>
              <w:right w:val="single" w:sz="4" w:space="0" w:color="000000"/>
            </w:tcBorders>
            <w:vAlign w:val="center"/>
          </w:tcPr>
          <w:p w14:paraId="34C63F15"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36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16"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R-I1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F17"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Mbështetja e shfrytëzimit të aplikimeve të energjisë së rinovueshme në shkallë të vogël në sektorin industrial joushqimor </w:t>
            </w:r>
          </w:p>
        </w:tc>
        <w:tc>
          <w:tcPr>
            <w:tcW w:w="705" w:type="pct"/>
            <w:tcBorders>
              <w:top w:val="single" w:sz="4" w:space="0" w:color="000000"/>
              <w:left w:val="single" w:sz="4" w:space="0" w:color="000000"/>
              <w:bottom w:val="single" w:sz="4" w:space="0" w:color="000000"/>
              <w:right w:val="single" w:sz="4" w:space="0" w:color="000000"/>
            </w:tcBorders>
          </w:tcPr>
          <w:p w14:paraId="34C63F18" w14:textId="77777777" w:rsidR="009D56D9" w:rsidRPr="00CE59C6" w:rsidRDefault="009D56D9" w:rsidP="00113048">
            <w:pPr>
              <w:spacing w:before="0" w:line="259" w:lineRule="auto"/>
              <w:ind w:left="2"/>
              <w:jc w:val="left"/>
              <w:rPr>
                <w:rFonts w:asciiTheme="majorHAnsi" w:hAnsiTheme="majorHAnsi" w:cstheme="majorHAnsi"/>
                <w:sz w:val="20"/>
                <w:szCs w:val="20"/>
              </w:rPr>
            </w:pPr>
            <w:r>
              <w:rPr>
                <w:rFonts w:asciiTheme="majorHAnsi" w:hAnsiTheme="majorHAnsi"/>
                <w:sz w:val="20"/>
                <w:szCs w:val="20"/>
              </w:rPr>
              <w:t xml:space="preserve">Investime, </w:t>
            </w:r>
          </w:p>
          <w:p w14:paraId="34C63F19" w14:textId="538B67B7" w:rsidR="009D56D9" w:rsidRPr="00CE59C6" w:rsidRDefault="00FA7B24" w:rsidP="00113048">
            <w:pPr>
              <w:spacing w:before="0" w:line="259" w:lineRule="auto"/>
              <w:ind w:left="2"/>
              <w:jc w:val="left"/>
              <w:rPr>
                <w:rFonts w:asciiTheme="majorHAnsi" w:hAnsiTheme="majorHAnsi" w:cstheme="majorHAnsi"/>
                <w:sz w:val="20"/>
                <w:szCs w:val="20"/>
              </w:rPr>
            </w:pPr>
            <w:r>
              <w:rPr>
                <w:rFonts w:asciiTheme="majorHAnsi" w:hAnsiTheme="majorHAnsi"/>
                <w:sz w:val="20"/>
                <w:szCs w:val="20"/>
              </w:rPr>
              <w:t>Financiare.</w:t>
            </w:r>
          </w:p>
          <w:p w14:paraId="34C63F1A" w14:textId="1DDCECCC" w:rsidR="009D56D9" w:rsidRPr="00CE59C6" w:rsidRDefault="00FA7B24" w:rsidP="00113048">
            <w:pPr>
              <w:spacing w:before="0" w:line="259" w:lineRule="auto"/>
              <w:ind w:left="2"/>
              <w:jc w:val="left"/>
              <w:rPr>
                <w:rFonts w:asciiTheme="majorHAnsi" w:hAnsiTheme="majorHAnsi" w:cstheme="majorHAnsi"/>
                <w:sz w:val="20"/>
                <w:szCs w:val="20"/>
              </w:rPr>
            </w:pPr>
            <w:r>
              <w:rPr>
                <w:rFonts w:asciiTheme="majorHAnsi" w:hAnsiTheme="majorHAnsi"/>
                <w:sz w:val="20"/>
                <w:szCs w:val="20"/>
              </w:rPr>
              <w:t>Informative.</w:t>
            </w:r>
          </w:p>
          <w:p w14:paraId="34C63F1B" w14:textId="77777777" w:rsidR="009D56D9" w:rsidRPr="00CE59C6" w:rsidRDefault="009D56D9" w:rsidP="00113048">
            <w:pPr>
              <w:spacing w:before="0" w:line="259" w:lineRule="auto"/>
              <w:ind w:left="2"/>
              <w:jc w:val="left"/>
              <w:rPr>
                <w:rFonts w:asciiTheme="majorHAnsi" w:hAnsiTheme="majorHAnsi" w:cstheme="majorHAnsi"/>
                <w:sz w:val="20"/>
                <w:szCs w:val="20"/>
              </w:rPr>
            </w:pPr>
            <w:r>
              <w:rPr>
                <w:rFonts w:asciiTheme="majorHAnsi" w:hAnsiTheme="majorHAnsi"/>
                <w:sz w:val="20"/>
                <w:szCs w:val="20"/>
              </w:rPr>
              <w:t xml:space="preserve">Edukative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1C" w14:textId="77777777" w:rsidR="009D56D9" w:rsidRPr="00CE59C6" w:rsidRDefault="00E5411F" w:rsidP="00E5411F">
            <w:pPr>
              <w:spacing w:line="259" w:lineRule="auto"/>
              <w:jc w:val="left"/>
              <w:rPr>
                <w:rFonts w:asciiTheme="majorHAnsi" w:hAnsiTheme="majorHAnsi" w:cstheme="majorHAnsi"/>
                <w:sz w:val="20"/>
                <w:szCs w:val="20"/>
              </w:rPr>
            </w:pPr>
            <w:r>
              <w:rPr>
                <w:rFonts w:asciiTheme="majorHAnsi" w:hAnsiTheme="majorHAnsi"/>
                <w:sz w:val="20"/>
                <w:szCs w:val="20"/>
              </w:rPr>
              <w:t>Buxheti indikativ: 2 milion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1D"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25" w14:textId="77777777" w:rsidTr="00852E36">
        <w:tblPrEx>
          <w:tblCellMar>
            <w:top w:w="72" w:type="dxa"/>
            <w:right w:w="9" w:type="dxa"/>
          </w:tblCellMar>
        </w:tblPrEx>
        <w:trPr>
          <w:trHeight w:val="792"/>
        </w:trPr>
        <w:tc>
          <w:tcPr>
            <w:tcW w:w="260" w:type="pct"/>
            <w:tcBorders>
              <w:top w:val="single" w:sz="4" w:space="0" w:color="000000"/>
              <w:left w:val="single" w:sz="4" w:space="0" w:color="000000"/>
              <w:bottom w:val="single" w:sz="4" w:space="0" w:color="000000"/>
              <w:right w:val="single" w:sz="4" w:space="0" w:color="000000"/>
            </w:tcBorders>
            <w:vAlign w:val="center"/>
          </w:tcPr>
          <w:p w14:paraId="34C63F1F"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37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20"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R-W1 </w:t>
            </w:r>
          </w:p>
        </w:tc>
        <w:tc>
          <w:tcPr>
            <w:tcW w:w="1381" w:type="pct"/>
            <w:tcBorders>
              <w:top w:val="single" w:sz="4" w:space="0" w:color="000000"/>
              <w:left w:val="single" w:sz="4" w:space="0" w:color="000000"/>
              <w:bottom w:val="single" w:sz="4" w:space="0" w:color="000000"/>
              <w:right w:val="single" w:sz="4" w:space="0" w:color="000000"/>
            </w:tcBorders>
          </w:tcPr>
          <w:p w14:paraId="34C63F21"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Vlerësimi i përdorimit të energjisë dhe mundësive për zbatimin e burimeve të energjisë së rinovueshme në sektorin e ujit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22"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Investime, Financiare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23" w14:textId="236D0E64" w:rsidR="009D56D9" w:rsidRPr="00CE59C6" w:rsidRDefault="00E5411F" w:rsidP="00E5411F">
            <w:pPr>
              <w:spacing w:line="259" w:lineRule="auto"/>
              <w:jc w:val="left"/>
              <w:rPr>
                <w:rFonts w:asciiTheme="majorHAnsi" w:hAnsiTheme="majorHAnsi" w:cstheme="majorHAnsi"/>
                <w:sz w:val="20"/>
                <w:szCs w:val="20"/>
              </w:rPr>
            </w:pPr>
            <w:r>
              <w:rPr>
                <w:rFonts w:asciiTheme="majorHAnsi" w:hAnsiTheme="majorHAnsi"/>
                <w:sz w:val="20"/>
                <w:szCs w:val="20"/>
              </w:rPr>
              <w:t>Kostoja e përgjithshme 14,7 milionë euro (</w:t>
            </w:r>
            <w:r>
              <w:rPr>
                <w:rFonts w:asciiTheme="majorHAnsi" w:hAnsiTheme="majorHAnsi"/>
                <w:i/>
                <w:iCs/>
                <w:sz w:val="20"/>
                <w:szCs w:val="20"/>
              </w:rPr>
              <w:t>IPA III - 2023 – 2027), Dritarja 3: Agjenda e gjelbër dhe konektiviteti i qëndrueshëm</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24"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2C" w14:textId="77777777" w:rsidTr="00852E36">
        <w:tblPrEx>
          <w:tblCellMar>
            <w:top w:w="72" w:type="dxa"/>
            <w:right w:w="9"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F26"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38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27"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EE-O1 </w:t>
            </w:r>
          </w:p>
        </w:tc>
        <w:tc>
          <w:tcPr>
            <w:tcW w:w="1381" w:type="pct"/>
            <w:tcBorders>
              <w:top w:val="single" w:sz="4" w:space="0" w:color="000000"/>
              <w:left w:val="single" w:sz="4" w:space="0" w:color="000000"/>
              <w:bottom w:val="single" w:sz="4" w:space="0" w:color="000000"/>
              <w:right w:val="single" w:sz="4" w:space="0" w:color="000000"/>
            </w:tcBorders>
          </w:tcPr>
          <w:p w14:paraId="34C63F28"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Skema detyruese e efiçencës së energjisë dhe masat alternative për Shqipërinë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29"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2A" w14:textId="77777777" w:rsidR="009D56D9" w:rsidRPr="00CE59C6" w:rsidRDefault="00E5411F" w:rsidP="00E5411F">
            <w:pPr>
              <w:spacing w:line="259" w:lineRule="auto"/>
              <w:jc w:val="left"/>
              <w:rPr>
                <w:rFonts w:asciiTheme="majorHAnsi" w:hAnsiTheme="majorHAnsi" w:cstheme="majorHAnsi"/>
                <w:sz w:val="20"/>
                <w:szCs w:val="20"/>
              </w:rPr>
            </w:pPr>
            <w:r>
              <w:rPr>
                <w:rFonts w:asciiTheme="majorHAnsi" w:hAnsiTheme="majorHAnsi"/>
                <w:sz w:val="20"/>
                <w:szCs w:val="20"/>
              </w:rPr>
              <w:t xml:space="preserve">Duke qenë se ka probleme rregullatore, buxheti lidhet më së shumti me mbështetjen teknike (në </w:t>
            </w:r>
            <w:r>
              <w:rPr>
                <w:rFonts w:asciiTheme="majorHAnsi" w:hAnsiTheme="majorHAnsi"/>
                <w:sz w:val="20"/>
                <w:szCs w:val="20"/>
              </w:rPr>
              <w:lastRenderedPageBreak/>
              <w:t>bazë të vlerësimit të parë, parashikohen 10-20 mijë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2B"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lastRenderedPageBreak/>
              <w:t xml:space="preserve">WAM </w:t>
            </w:r>
          </w:p>
        </w:tc>
      </w:tr>
      <w:tr w:rsidR="009D56D9" w:rsidRPr="00CE59C6" w14:paraId="34C63F33" w14:textId="77777777" w:rsidTr="00852E36">
        <w:tblPrEx>
          <w:tblCellMar>
            <w:top w:w="72" w:type="dxa"/>
            <w:right w:w="9" w:type="dxa"/>
          </w:tblCellMar>
        </w:tblPrEx>
        <w:trPr>
          <w:trHeight w:val="529"/>
        </w:trPr>
        <w:tc>
          <w:tcPr>
            <w:tcW w:w="260" w:type="pct"/>
            <w:tcBorders>
              <w:top w:val="single" w:sz="4" w:space="0" w:color="000000"/>
              <w:left w:val="single" w:sz="4" w:space="0" w:color="000000"/>
              <w:bottom w:val="single" w:sz="4" w:space="0" w:color="000000"/>
              <w:right w:val="single" w:sz="4" w:space="0" w:color="000000"/>
            </w:tcBorders>
            <w:vAlign w:val="center"/>
          </w:tcPr>
          <w:p w14:paraId="34C63F2D" w14:textId="77777777" w:rsidR="009D56D9" w:rsidRPr="00CE59C6" w:rsidRDefault="009D56D9" w:rsidP="00CE45B5">
            <w:pPr>
              <w:spacing w:line="259" w:lineRule="auto"/>
              <w:ind w:right="100"/>
              <w:jc w:val="center"/>
              <w:rPr>
                <w:rFonts w:asciiTheme="majorHAnsi" w:hAnsiTheme="majorHAnsi" w:cstheme="majorHAnsi"/>
                <w:sz w:val="20"/>
                <w:szCs w:val="20"/>
              </w:rPr>
            </w:pPr>
            <w:r>
              <w:rPr>
                <w:rFonts w:asciiTheme="majorHAnsi" w:hAnsiTheme="majorHAnsi"/>
                <w:sz w:val="20"/>
                <w:szCs w:val="20"/>
              </w:rPr>
              <w:t xml:space="preserve">39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2E"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EE-I1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F2F"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Inspektimi i sistemeve teknike në ndërtesa </w:t>
            </w:r>
          </w:p>
        </w:tc>
        <w:tc>
          <w:tcPr>
            <w:tcW w:w="705" w:type="pct"/>
            <w:tcBorders>
              <w:top w:val="single" w:sz="4" w:space="0" w:color="000000"/>
              <w:left w:val="single" w:sz="4" w:space="0" w:color="000000"/>
              <w:bottom w:val="single" w:sz="4" w:space="0" w:color="000000"/>
              <w:right w:val="single" w:sz="4" w:space="0" w:color="000000"/>
            </w:tcBorders>
          </w:tcPr>
          <w:p w14:paraId="34C63F30" w14:textId="77777777" w:rsidR="009D56D9" w:rsidRPr="00CE59C6" w:rsidRDefault="009D56D9" w:rsidP="00CE45B5">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Teknike </w:t>
            </w:r>
          </w:p>
        </w:tc>
        <w:tc>
          <w:tcPr>
            <w:tcW w:w="1706" w:type="pct"/>
            <w:tcBorders>
              <w:top w:val="single" w:sz="4" w:space="0" w:color="000000"/>
              <w:left w:val="single" w:sz="4" w:space="0" w:color="000000"/>
              <w:bottom w:val="single" w:sz="4" w:space="0" w:color="000000"/>
              <w:right w:val="single" w:sz="4" w:space="0" w:color="000000"/>
            </w:tcBorders>
          </w:tcPr>
          <w:p w14:paraId="34C63F31" w14:textId="4FEBC568" w:rsidR="009D56D9" w:rsidRPr="00CE59C6" w:rsidRDefault="00E5411F" w:rsidP="00CE45B5">
            <w:pPr>
              <w:spacing w:line="259" w:lineRule="auto"/>
              <w:jc w:val="left"/>
              <w:rPr>
                <w:rFonts w:asciiTheme="majorHAnsi" w:hAnsiTheme="majorHAnsi" w:cstheme="majorHAnsi"/>
                <w:sz w:val="20"/>
                <w:szCs w:val="20"/>
              </w:rPr>
            </w:pPr>
            <w:r>
              <w:rPr>
                <w:rFonts w:asciiTheme="majorHAnsi" w:hAnsiTheme="majorHAnsi"/>
                <w:sz w:val="20"/>
                <w:szCs w:val="20"/>
              </w:rPr>
              <w:t>Pritet vlerësimi i kostove të inspektimit.</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32" w14:textId="77777777" w:rsidR="009D56D9" w:rsidRPr="00CE59C6" w:rsidRDefault="009D56D9" w:rsidP="00CE45B5">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3A" w14:textId="77777777" w:rsidTr="00852E36">
        <w:trPr>
          <w:trHeight w:val="589"/>
        </w:trPr>
        <w:tc>
          <w:tcPr>
            <w:tcW w:w="260" w:type="pct"/>
            <w:tcBorders>
              <w:top w:val="single" w:sz="4" w:space="0" w:color="000000"/>
              <w:left w:val="single" w:sz="4" w:space="0" w:color="000000"/>
              <w:bottom w:val="single" w:sz="4" w:space="0" w:color="000000"/>
              <w:right w:val="single" w:sz="4" w:space="0" w:color="000000"/>
            </w:tcBorders>
            <w:vAlign w:val="center"/>
          </w:tcPr>
          <w:p w14:paraId="34C63F34" w14:textId="77777777" w:rsidR="009D56D9" w:rsidRPr="00CE59C6" w:rsidRDefault="009D56D9" w:rsidP="00192EE9">
            <w:pPr>
              <w:spacing w:line="259" w:lineRule="auto"/>
              <w:ind w:right="43"/>
              <w:jc w:val="center"/>
              <w:rPr>
                <w:rFonts w:asciiTheme="majorHAnsi" w:hAnsiTheme="majorHAnsi" w:cstheme="majorHAnsi"/>
                <w:sz w:val="20"/>
                <w:szCs w:val="20"/>
              </w:rPr>
            </w:pPr>
            <w:r>
              <w:rPr>
                <w:rFonts w:asciiTheme="majorHAnsi" w:hAnsiTheme="majorHAnsi"/>
                <w:sz w:val="20"/>
                <w:szCs w:val="20"/>
              </w:rPr>
              <w:t xml:space="preserve">40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35" w14:textId="77777777" w:rsidR="009D56D9" w:rsidRPr="00CE59C6" w:rsidRDefault="009D56D9" w:rsidP="00192EE9">
            <w:pPr>
              <w:spacing w:line="259" w:lineRule="auto"/>
              <w:jc w:val="left"/>
              <w:rPr>
                <w:rFonts w:asciiTheme="majorHAnsi" w:hAnsiTheme="majorHAnsi" w:cstheme="majorHAnsi"/>
                <w:sz w:val="20"/>
                <w:szCs w:val="20"/>
              </w:rPr>
            </w:pPr>
            <w:r>
              <w:rPr>
                <w:rFonts w:asciiTheme="majorHAnsi" w:hAnsiTheme="majorHAnsi"/>
                <w:sz w:val="20"/>
                <w:szCs w:val="20"/>
              </w:rPr>
              <w:t xml:space="preserve">EE-L1 </w:t>
            </w:r>
          </w:p>
        </w:tc>
        <w:tc>
          <w:tcPr>
            <w:tcW w:w="1381" w:type="pct"/>
            <w:tcBorders>
              <w:top w:val="single" w:sz="4" w:space="0" w:color="000000"/>
              <w:left w:val="single" w:sz="4" w:space="0" w:color="000000"/>
              <w:bottom w:val="single" w:sz="4" w:space="0" w:color="000000"/>
              <w:right w:val="single" w:sz="4" w:space="0" w:color="000000"/>
            </w:tcBorders>
          </w:tcPr>
          <w:p w14:paraId="34C63F36" w14:textId="77777777" w:rsidR="009D56D9" w:rsidRPr="00CE59C6" w:rsidRDefault="009D56D9" w:rsidP="00192EE9">
            <w:pPr>
              <w:spacing w:line="259" w:lineRule="auto"/>
              <w:ind w:left="2"/>
              <w:jc w:val="left"/>
              <w:rPr>
                <w:rFonts w:asciiTheme="majorHAnsi" w:hAnsiTheme="majorHAnsi" w:cstheme="majorHAnsi"/>
                <w:sz w:val="20"/>
                <w:szCs w:val="20"/>
              </w:rPr>
            </w:pPr>
            <w:r>
              <w:rPr>
                <w:rFonts w:asciiTheme="majorHAnsi" w:hAnsiTheme="majorHAnsi"/>
                <w:sz w:val="20"/>
                <w:szCs w:val="20"/>
              </w:rPr>
              <w:t xml:space="preserve">Zbatimi i kërkesave minimale të performancës së energjisë në ndërtesa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37" w14:textId="77777777" w:rsidR="009D56D9" w:rsidRPr="00CE59C6" w:rsidRDefault="009D56D9" w:rsidP="00192EE9">
            <w:pPr>
              <w:spacing w:after="41" w:line="259" w:lineRule="auto"/>
              <w:ind w:left="2"/>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38" w14:textId="38CAA5C9" w:rsidR="009D56D9" w:rsidRPr="00CE59C6" w:rsidRDefault="00E5411F" w:rsidP="00E5411F">
            <w:pPr>
              <w:spacing w:line="259" w:lineRule="auto"/>
              <w:jc w:val="left"/>
              <w:rPr>
                <w:rFonts w:asciiTheme="majorHAnsi" w:hAnsiTheme="majorHAnsi" w:cstheme="majorHAnsi"/>
                <w:sz w:val="20"/>
                <w:szCs w:val="20"/>
              </w:rPr>
            </w:pPr>
            <w:r>
              <w:rPr>
                <w:rFonts w:asciiTheme="majorHAnsi" w:hAnsiTheme="majorHAnsi"/>
                <w:sz w:val="20"/>
                <w:szCs w:val="20"/>
              </w:rPr>
              <w:t>Nuk disponohet një buxhet total i përllogaritur, por disa nga fondet e dedikuara janë: (i) Ndihma shtetërore për “bizneset e reja të gjelbra” në Tiranë, me një vlerë totale të fondit për dy vite prej rreth 0,3 milionë euro; dhe (ii) 6,5 milionë euro "për efiçencën e energjisë për Qyteti Studenti" nga banka KfW. Ngritja e një baze të dhënash të CPE-së që plotëson kërkesat e ndërveprueshmërisë vlerësohet në 0,2 milionë euro. Kostoja për funksionimin dhe mirëmbajtjen e bazës së të dhënave të CPE-së dhe mjeteve softuerike përkatëse, si dhe për ofrimin e trajnimeve, vlerësohet në 25 000 euro në vit.</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39" w14:textId="77777777" w:rsidR="009D56D9" w:rsidRPr="00CE59C6" w:rsidRDefault="009D56D9" w:rsidP="00192EE9">
            <w:pPr>
              <w:spacing w:line="259" w:lineRule="auto"/>
              <w:jc w:val="left"/>
              <w:rPr>
                <w:rFonts w:asciiTheme="majorHAnsi" w:hAnsiTheme="majorHAnsi" w:cstheme="majorHAnsi"/>
                <w:sz w:val="20"/>
                <w:szCs w:val="20"/>
              </w:rPr>
            </w:pPr>
            <w:r>
              <w:rPr>
                <w:rFonts w:asciiTheme="majorHAnsi" w:hAnsiTheme="majorHAnsi"/>
                <w:sz w:val="20"/>
                <w:szCs w:val="20"/>
              </w:rPr>
              <w:t xml:space="preserve">WAM </w:t>
            </w:r>
          </w:p>
        </w:tc>
      </w:tr>
      <w:tr w:rsidR="00E5411F" w:rsidRPr="00CE59C6" w14:paraId="34C63F43" w14:textId="77777777" w:rsidTr="00852E36">
        <w:tblPrEx>
          <w:tblCellMar>
            <w:top w:w="40" w:type="dxa"/>
            <w:left w:w="107" w:type="dxa"/>
            <w:right w:w="70" w:type="dxa"/>
          </w:tblCellMar>
        </w:tblPrEx>
        <w:trPr>
          <w:trHeight w:val="761"/>
        </w:trPr>
        <w:tc>
          <w:tcPr>
            <w:tcW w:w="260" w:type="pct"/>
            <w:tcBorders>
              <w:top w:val="single" w:sz="4" w:space="0" w:color="000000"/>
              <w:left w:val="single" w:sz="4" w:space="0" w:color="000000"/>
              <w:bottom w:val="single" w:sz="4" w:space="0" w:color="000000"/>
              <w:right w:val="single" w:sz="4" w:space="0" w:color="000000"/>
            </w:tcBorders>
            <w:vAlign w:val="center"/>
          </w:tcPr>
          <w:p w14:paraId="34C63F3B" w14:textId="77777777" w:rsidR="00E5411F" w:rsidRPr="00CE59C6" w:rsidRDefault="00E5411F"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41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3C" w14:textId="77777777" w:rsidR="00E5411F" w:rsidRPr="00CE59C6" w:rsidRDefault="00E5411F"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EE-L2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F3D" w14:textId="77777777" w:rsidR="00E5411F" w:rsidRPr="00CE59C6" w:rsidRDefault="00E5411F"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Plani afatgjatë i rinovimit të ndërtesave (për ndërtesat publike dhe private) sipas riformulimit të EPBD-së në vitin 2024 </w:t>
            </w:r>
          </w:p>
        </w:tc>
        <w:tc>
          <w:tcPr>
            <w:tcW w:w="705" w:type="pct"/>
            <w:tcBorders>
              <w:top w:val="single" w:sz="4" w:space="0" w:color="000000"/>
              <w:left w:val="single" w:sz="4" w:space="0" w:color="000000"/>
              <w:bottom w:val="single" w:sz="4" w:space="0" w:color="000000"/>
              <w:right w:val="single" w:sz="4" w:space="0" w:color="000000"/>
            </w:tcBorders>
          </w:tcPr>
          <w:p w14:paraId="34C63F3E" w14:textId="6C4E7DBB" w:rsidR="00E5411F" w:rsidRPr="00CE59C6" w:rsidRDefault="00EB03C6" w:rsidP="00CE45B5">
            <w:pPr>
              <w:spacing w:line="259" w:lineRule="auto"/>
              <w:ind w:left="4"/>
              <w:jc w:val="left"/>
              <w:rPr>
                <w:rFonts w:asciiTheme="majorHAnsi" w:hAnsiTheme="majorHAnsi" w:cstheme="majorHAnsi"/>
                <w:sz w:val="20"/>
                <w:szCs w:val="20"/>
              </w:rPr>
            </w:pPr>
            <w:r>
              <w:rPr>
                <w:rFonts w:asciiTheme="majorHAnsi" w:hAnsiTheme="majorHAnsi"/>
                <w:sz w:val="20"/>
                <w:szCs w:val="20"/>
              </w:rPr>
              <w:t>Rregullatore.</w:t>
            </w:r>
          </w:p>
          <w:p w14:paraId="34C63F3F" w14:textId="3DD3875A" w:rsidR="00E5411F" w:rsidRPr="00CE59C6" w:rsidRDefault="00EB03C6" w:rsidP="00CE45B5">
            <w:pPr>
              <w:spacing w:line="259" w:lineRule="auto"/>
              <w:ind w:left="4"/>
              <w:jc w:val="left"/>
              <w:rPr>
                <w:rFonts w:asciiTheme="majorHAnsi" w:hAnsiTheme="majorHAnsi" w:cstheme="majorHAnsi"/>
                <w:sz w:val="20"/>
                <w:szCs w:val="20"/>
              </w:rPr>
            </w:pPr>
            <w:r>
              <w:rPr>
                <w:rFonts w:asciiTheme="majorHAnsi" w:hAnsiTheme="majorHAnsi"/>
                <w:sz w:val="20"/>
                <w:szCs w:val="20"/>
              </w:rPr>
              <w:t>Financiare.</w:t>
            </w:r>
          </w:p>
          <w:p w14:paraId="34C63F40" w14:textId="77777777" w:rsidR="00E5411F" w:rsidRPr="00CE59C6" w:rsidRDefault="00E5411F"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Informacioni </w:t>
            </w:r>
          </w:p>
        </w:tc>
        <w:tc>
          <w:tcPr>
            <w:tcW w:w="1706" w:type="pct"/>
            <w:vMerge w:val="restart"/>
            <w:tcBorders>
              <w:top w:val="single" w:sz="4" w:space="0" w:color="000000"/>
              <w:left w:val="single" w:sz="4" w:space="0" w:color="000000"/>
              <w:right w:val="single" w:sz="4" w:space="0" w:color="000000"/>
            </w:tcBorders>
            <w:vAlign w:val="center"/>
          </w:tcPr>
          <w:p w14:paraId="34C63F41" w14:textId="77777777" w:rsidR="00E5411F"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Vlerësimi fillestar është 1 milion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42" w14:textId="77777777" w:rsidR="00E5411F" w:rsidRPr="00CE59C6" w:rsidRDefault="00E5411F"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E5411F" w:rsidRPr="00CE59C6" w14:paraId="34C63F4A" w14:textId="77777777" w:rsidTr="00852E36">
        <w:tblPrEx>
          <w:tblCellMar>
            <w:top w:w="40" w:type="dxa"/>
            <w:left w:w="107" w:type="dxa"/>
            <w:right w:w="70" w:type="dxa"/>
          </w:tblCellMar>
        </w:tblPrEx>
        <w:trPr>
          <w:trHeight w:val="761"/>
        </w:trPr>
        <w:tc>
          <w:tcPr>
            <w:tcW w:w="260" w:type="pct"/>
            <w:tcBorders>
              <w:top w:val="single" w:sz="4" w:space="0" w:color="000000"/>
              <w:left w:val="single" w:sz="4" w:space="0" w:color="000000"/>
              <w:bottom w:val="single" w:sz="4" w:space="0" w:color="000000"/>
              <w:right w:val="single" w:sz="4" w:space="0" w:color="000000"/>
            </w:tcBorders>
            <w:vAlign w:val="center"/>
          </w:tcPr>
          <w:p w14:paraId="34C63F44" w14:textId="77777777" w:rsidR="00E5411F" w:rsidRPr="00CE59C6" w:rsidRDefault="00E5411F"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42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45" w14:textId="77777777" w:rsidR="00E5411F" w:rsidRPr="00CE59C6" w:rsidRDefault="00E5411F"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EE-L3 </w:t>
            </w:r>
          </w:p>
        </w:tc>
        <w:tc>
          <w:tcPr>
            <w:tcW w:w="1381" w:type="pct"/>
            <w:tcBorders>
              <w:top w:val="single" w:sz="4" w:space="0" w:color="000000"/>
              <w:left w:val="single" w:sz="4" w:space="0" w:color="000000"/>
              <w:bottom w:val="single" w:sz="4" w:space="0" w:color="000000"/>
              <w:right w:val="single" w:sz="4" w:space="0" w:color="000000"/>
            </w:tcBorders>
          </w:tcPr>
          <w:p w14:paraId="34C63F46" w14:textId="77777777" w:rsidR="00E5411F" w:rsidRPr="00CE59C6" w:rsidRDefault="00E5411F"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Standardet minimale të performancës së energjisë për ndërtesat jorezidenciale dhe trajektoret për rinovimin progresiv të stokut të ndërtesave rezidenciale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47" w14:textId="77777777" w:rsidR="00E5411F" w:rsidRPr="00CE59C6" w:rsidRDefault="00E5411F"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Rregullatore; Teknike </w:t>
            </w:r>
          </w:p>
        </w:tc>
        <w:tc>
          <w:tcPr>
            <w:tcW w:w="1706" w:type="pct"/>
            <w:vMerge/>
            <w:tcBorders>
              <w:left w:val="single" w:sz="4" w:space="0" w:color="000000"/>
              <w:bottom w:val="single" w:sz="4" w:space="0" w:color="000000"/>
              <w:right w:val="single" w:sz="4" w:space="0" w:color="000000"/>
            </w:tcBorders>
            <w:vAlign w:val="center"/>
          </w:tcPr>
          <w:p w14:paraId="34C63F48" w14:textId="77777777" w:rsidR="00E5411F" w:rsidRPr="00CE59C6" w:rsidRDefault="00E5411F" w:rsidP="00E5411F">
            <w:pPr>
              <w:spacing w:line="259" w:lineRule="auto"/>
              <w:ind w:left="1"/>
              <w:jc w:val="left"/>
              <w:rPr>
                <w:rFonts w:asciiTheme="majorHAnsi" w:hAnsiTheme="majorHAnsi" w:cstheme="majorHAnsi"/>
                <w:sz w:val="20"/>
                <w:szCs w:val="20"/>
              </w:rPr>
            </w:pPr>
          </w:p>
        </w:tc>
        <w:tc>
          <w:tcPr>
            <w:tcW w:w="575" w:type="pct"/>
            <w:tcBorders>
              <w:top w:val="single" w:sz="4" w:space="0" w:color="000000"/>
              <w:left w:val="single" w:sz="4" w:space="0" w:color="000000"/>
              <w:bottom w:val="single" w:sz="4" w:space="0" w:color="000000"/>
              <w:right w:val="single" w:sz="4" w:space="0" w:color="000000"/>
            </w:tcBorders>
            <w:vAlign w:val="center"/>
          </w:tcPr>
          <w:p w14:paraId="34C63F49" w14:textId="77777777" w:rsidR="00E5411F" w:rsidRPr="00CE59C6" w:rsidRDefault="00E5411F"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51" w14:textId="77777777" w:rsidTr="00852E36">
        <w:tblPrEx>
          <w:tblCellMar>
            <w:top w:w="40" w:type="dxa"/>
            <w:left w:w="107" w:type="dxa"/>
            <w:right w:w="70" w:type="dxa"/>
          </w:tblCellMar>
        </w:tblPrEx>
        <w:trPr>
          <w:trHeight w:val="761"/>
        </w:trPr>
        <w:tc>
          <w:tcPr>
            <w:tcW w:w="260" w:type="pct"/>
            <w:tcBorders>
              <w:top w:val="single" w:sz="4" w:space="0" w:color="000000"/>
              <w:left w:val="single" w:sz="4" w:space="0" w:color="000000"/>
              <w:bottom w:val="single" w:sz="4" w:space="0" w:color="000000"/>
              <w:right w:val="single" w:sz="4" w:space="0" w:color="000000"/>
            </w:tcBorders>
            <w:vAlign w:val="center"/>
          </w:tcPr>
          <w:p w14:paraId="34C63F4B"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43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4C"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EE-L4 </w:t>
            </w:r>
          </w:p>
        </w:tc>
        <w:tc>
          <w:tcPr>
            <w:tcW w:w="1381" w:type="pct"/>
            <w:tcBorders>
              <w:top w:val="single" w:sz="4" w:space="0" w:color="000000"/>
              <w:left w:val="single" w:sz="4" w:space="0" w:color="000000"/>
              <w:bottom w:val="single" w:sz="4" w:space="0" w:color="000000"/>
              <w:right w:val="single" w:sz="4" w:space="0" w:color="000000"/>
            </w:tcBorders>
          </w:tcPr>
          <w:p w14:paraId="34C63F4D"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Rikonstruktimi i ndërtesave ekzistuese të qeverisë qendrore </w:t>
            </w:r>
            <w:r>
              <w:rPr>
                <w:rFonts w:asciiTheme="majorHAnsi" w:hAnsiTheme="majorHAnsi"/>
                <w:i/>
                <w:sz w:val="20"/>
                <w:szCs w:val="20"/>
              </w:rPr>
              <w:t>(me përjashtim të ndërtesave të tjera publike në pronësi të bashkive etj.)</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4E"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Investime; 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4F" w14:textId="409A068C" w:rsidR="009D56D9" w:rsidRPr="00CE59C6" w:rsidRDefault="00E5411F" w:rsidP="00E5411F">
            <w:pPr>
              <w:spacing w:after="58"/>
              <w:ind w:left="2"/>
              <w:rPr>
                <w:rFonts w:asciiTheme="majorHAnsi" w:hAnsiTheme="majorHAnsi" w:cstheme="majorHAnsi"/>
                <w:sz w:val="20"/>
                <w:szCs w:val="20"/>
              </w:rPr>
            </w:pPr>
            <w:r>
              <w:rPr>
                <w:rFonts w:asciiTheme="majorHAnsi" w:hAnsiTheme="majorHAnsi"/>
                <w:sz w:val="20"/>
                <w:szCs w:val="20"/>
              </w:rPr>
              <w:t xml:space="preserve">Kostot totale të investimit për periudhën 2020-2030 janë 500 milionë euro. </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50"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58" w14:textId="77777777" w:rsidTr="00852E36">
        <w:tblPrEx>
          <w:tblCellMar>
            <w:top w:w="40" w:type="dxa"/>
            <w:left w:w="107" w:type="dxa"/>
            <w:right w:w="70"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F52"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44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53"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EE-L5 </w:t>
            </w:r>
          </w:p>
        </w:tc>
        <w:tc>
          <w:tcPr>
            <w:tcW w:w="1381" w:type="pct"/>
            <w:tcBorders>
              <w:top w:val="single" w:sz="4" w:space="0" w:color="000000"/>
              <w:left w:val="single" w:sz="4" w:space="0" w:color="000000"/>
              <w:bottom w:val="single" w:sz="4" w:space="0" w:color="000000"/>
              <w:right w:val="single" w:sz="4" w:space="0" w:color="000000"/>
            </w:tcBorders>
          </w:tcPr>
          <w:p w14:paraId="34C63F54"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Rikonstruktimi i stokut të ndërtesave publike </w:t>
            </w:r>
            <w:r>
              <w:rPr>
                <w:rFonts w:asciiTheme="majorHAnsi" w:hAnsiTheme="majorHAnsi"/>
                <w:i/>
                <w:sz w:val="20"/>
                <w:szCs w:val="20"/>
              </w:rPr>
              <w:t xml:space="preserve">(të gjitha ndërtesat publike me </w:t>
            </w:r>
            <w:r>
              <w:rPr>
                <w:rFonts w:asciiTheme="majorHAnsi" w:hAnsiTheme="majorHAnsi"/>
                <w:i/>
                <w:sz w:val="20"/>
                <w:szCs w:val="20"/>
              </w:rPr>
              <w:lastRenderedPageBreak/>
              <w:t>përjashtim të atyre të qeverisë qendrore)</w:t>
            </w:r>
          </w:p>
        </w:tc>
        <w:tc>
          <w:tcPr>
            <w:tcW w:w="705" w:type="pct"/>
            <w:tcBorders>
              <w:top w:val="single" w:sz="4" w:space="0" w:color="000000"/>
              <w:left w:val="single" w:sz="4" w:space="0" w:color="000000"/>
              <w:bottom w:val="single" w:sz="4" w:space="0" w:color="000000"/>
              <w:right w:val="single" w:sz="4" w:space="0" w:color="000000"/>
            </w:tcBorders>
          </w:tcPr>
          <w:p w14:paraId="34C63F55"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lastRenderedPageBreak/>
              <w:t xml:space="preserve">Investime; 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56" w14:textId="77777777"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Kostot totale të investimit për rikonstruksionin e ndërtesave </w:t>
            </w:r>
            <w:r>
              <w:rPr>
                <w:rFonts w:asciiTheme="majorHAnsi" w:hAnsiTheme="majorHAnsi"/>
                <w:sz w:val="20"/>
                <w:szCs w:val="20"/>
              </w:rPr>
              <w:lastRenderedPageBreak/>
              <w:t>publike për periudhën 2015-2030 janë 1,8 miliardë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57"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lastRenderedPageBreak/>
              <w:t xml:space="preserve">WAM </w:t>
            </w:r>
          </w:p>
        </w:tc>
      </w:tr>
      <w:tr w:rsidR="009D56D9" w:rsidRPr="00CE59C6" w14:paraId="34C63F5F" w14:textId="77777777" w:rsidTr="00852E36">
        <w:tblPrEx>
          <w:tblCellMar>
            <w:top w:w="40" w:type="dxa"/>
            <w:left w:w="107" w:type="dxa"/>
            <w:right w:w="70" w:type="dxa"/>
          </w:tblCellMar>
        </w:tblPrEx>
        <w:trPr>
          <w:trHeight w:val="527"/>
        </w:trPr>
        <w:tc>
          <w:tcPr>
            <w:tcW w:w="260" w:type="pct"/>
            <w:tcBorders>
              <w:top w:val="single" w:sz="4" w:space="0" w:color="000000"/>
              <w:left w:val="single" w:sz="4" w:space="0" w:color="000000"/>
              <w:bottom w:val="single" w:sz="4" w:space="0" w:color="000000"/>
              <w:right w:val="single" w:sz="4" w:space="0" w:color="000000"/>
            </w:tcBorders>
            <w:vAlign w:val="center"/>
          </w:tcPr>
          <w:p w14:paraId="34C63F59"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45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5A"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EE-L6 </w:t>
            </w:r>
          </w:p>
        </w:tc>
        <w:tc>
          <w:tcPr>
            <w:tcW w:w="1381" w:type="pct"/>
            <w:tcBorders>
              <w:top w:val="single" w:sz="4" w:space="0" w:color="000000"/>
              <w:left w:val="single" w:sz="4" w:space="0" w:color="000000"/>
              <w:bottom w:val="single" w:sz="4" w:space="0" w:color="000000"/>
              <w:right w:val="single" w:sz="4" w:space="0" w:color="000000"/>
            </w:tcBorders>
          </w:tcPr>
          <w:p w14:paraId="34C63F5B"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Skemat e mbështetjes financiare për përmirësimin e efiçencës së energjisë në ndërtesa (sektori privat)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5C"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Financiare; Fiskale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5D" w14:textId="495F930C"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Buxheti për këshillimin falas mbi energjinë/auditimet energjetike që do të financohet nga programet e asistencës teknike është 25 000 euro në vit.</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5E"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66" w14:textId="77777777" w:rsidTr="00852E36">
        <w:tblPrEx>
          <w:tblCellMar>
            <w:top w:w="40" w:type="dxa"/>
            <w:left w:w="107" w:type="dxa"/>
            <w:right w:w="70" w:type="dxa"/>
          </w:tblCellMar>
        </w:tblPrEx>
        <w:trPr>
          <w:trHeight w:val="583"/>
        </w:trPr>
        <w:tc>
          <w:tcPr>
            <w:tcW w:w="260" w:type="pct"/>
            <w:tcBorders>
              <w:top w:val="single" w:sz="4" w:space="0" w:color="000000"/>
              <w:left w:val="single" w:sz="4" w:space="0" w:color="000000"/>
              <w:bottom w:val="single" w:sz="4" w:space="0" w:color="000000"/>
              <w:right w:val="single" w:sz="4" w:space="0" w:color="000000"/>
            </w:tcBorders>
            <w:vAlign w:val="center"/>
          </w:tcPr>
          <w:p w14:paraId="34C63F60"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46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61"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EE-L7 </w:t>
            </w:r>
          </w:p>
        </w:tc>
        <w:tc>
          <w:tcPr>
            <w:tcW w:w="1381" w:type="pct"/>
            <w:tcBorders>
              <w:top w:val="single" w:sz="4" w:space="0" w:color="000000"/>
              <w:left w:val="single" w:sz="4" w:space="0" w:color="000000"/>
              <w:bottom w:val="single" w:sz="4" w:space="0" w:color="000000"/>
              <w:right w:val="single" w:sz="4" w:space="0" w:color="000000"/>
            </w:tcBorders>
          </w:tcPr>
          <w:p w14:paraId="34C63F62"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Auditimi i energjisë dhe rikonstruktimi i stokut të ndërtesave publike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63"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Financiare  </w:t>
            </w:r>
          </w:p>
        </w:tc>
        <w:tc>
          <w:tcPr>
            <w:tcW w:w="1706" w:type="pct"/>
            <w:tcBorders>
              <w:top w:val="single" w:sz="4" w:space="0" w:color="000000"/>
              <w:left w:val="single" w:sz="4" w:space="0" w:color="000000"/>
              <w:bottom w:val="single" w:sz="4" w:space="0" w:color="000000"/>
              <w:right w:val="single" w:sz="4" w:space="0" w:color="000000"/>
            </w:tcBorders>
          </w:tcPr>
          <w:p w14:paraId="34C63F64" w14:textId="77777777" w:rsidR="009D56D9" w:rsidRPr="00CE59C6" w:rsidRDefault="00E5411F" w:rsidP="00CE45B5">
            <w:pPr>
              <w:spacing w:line="259" w:lineRule="auto"/>
              <w:ind w:left="1"/>
              <w:jc w:val="left"/>
              <w:rPr>
                <w:rFonts w:asciiTheme="majorHAnsi" w:hAnsiTheme="majorHAnsi" w:cstheme="majorHAnsi"/>
                <w:sz w:val="20"/>
                <w:szCs w:val="20"/>
              </w:rPr>
            </w:pPr>
            <w:r>
              <w:rPr>
                <w:rFonts w:asciiTheme="majorHAnsi" w:hAnsiTheme="majorHAnsi"/>
                <w:sz w:val="20"/>
                <w:szCs w:val="20"/>
              </w:rPr>
              <w:t>Pritet vlerësimi i kostove të auditimeve të energjisë.</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65"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6D" w14:textId="77777777" w:rsidTr="00852E36">
        <w:tblPrEx>
          <w:tblCellMar>
            <w:top w:w="40" w:type="dxa"/>
            <w:left w:w="107" w:type="dxa"/>
            <w:right w:w="70" w:type="dxa"/>
          </w:tblCellMar>
        </w:tblPrEx>
        <w:trPr>
          <w:trHeight w:val="527"/>
        </w:trPr>
        <w:tc>
          <w:tcPr>
            <w:tcW w:w="260" w:type="pct"/>
            <w:tcBorders>
              <w:top w:val="single" w:sz="4" w:space="0" w:color="000000"/>
              <w:left w:val="single" w:sz="4" w:space="0" w:color="000000"/>
              <w:bottom w:val="single" w:sz="4" w:space="0" w:color="000000"/>
              <w:right w:val="single" w:sz="4" w:space="0" w:color="000000"/>
            </w:tcBorders>
            <w:vAlign w:val="center"/>
          </w:tcPr>
          <w:p w14:paraId="34C63F67"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47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68"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EE-L8 </w:t>
            </w:r>
          </w:p>
        </w:tc>
        <w:tc>
          <w:tcPr>
            <w:tcW w:w="1381" w:type="pct"/>
            <w:tcBorders>
              <w:top w:val="single" w:sz="4" w:space="0" w:color="000000"/>
              <w:left w:val="single" w:sz="4" w:space="0" w:color="000000"/>
              <w:bottom w:val="single" w:sz="4" w:space="0" w:color="000000"/>
              <w:right w:val="single" w:sz="4" w:space="0" w:color="000000"/>
            </w:tcBorders>
          </w:tcPr>
          <w:p w14:paraId="34C63F69" w14:textId="58476C26"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Programi i rehabilitimit të efiçencës së energjisë në Qytetin Studenti I - Tiranë, Shqipëri - projekt pilot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6A"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Financiare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6B" w14:textId="77777777"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Kostoja e përgjithshme është 42 milionë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6C"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74" w14:textId="77777777" w:rsidTr="00852E36">
        <w:tblPrEx>
          <w:tblCellMar>
            <w:top w:w="40" w:type="dxa"/>
            <w:left w:w="107" w:type="dxa"/>
            <w:right w:w="70" w:type="dxa"/>
          </w:tblCellMar>
        </w:tblPrEx>
        <w:trPr>
          <w:trHeight w:val="532"/>
        </w:trPr>
        <w:tc>
          <w:tcPr>
            <w:tcW w:w="260" w:type="pct"/>
            <w:tcBorders>
              <w:top w:val="single" w:sz="4" w:space="0" w:color="000000"/>
              <w:left w:val="single" w:sz="4" w:space="0" w:color="000000"/>
              <w:bottom w:val="single" w:sz="4" w:space="0" w:color="000000"/>
              <w:right w:val="single" w:sz="4" w:space="0" w:color="000000"/>
            </w:tcBorders>
            <w:vAlign w:val="center"/>
          </w:tcPr>
          <w:p w14:paraId="34C63F6E"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48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6F"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EE-S1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F70"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Zbatimi i modeleve të Shoqërisë së Shërbimeve Energjetike (ESCO) </w:t>
            </w:r>
          </w:p>
        </w:tc>
        <w:tc>
          <w:tcPr>
            <w:tcW w:w="705" w:type="pct"/>
            <w:tcBorders>
              <w:top w:val="single" w:sz="4" w:space="0" w:color="000000"/>
              <w:left w:val="single" w:sz="4" w:space="0" w:color="000000"/>
              <w:bottom w:val="single" w:sz="4" w:space="0" w:color="000000"/>
              <w:right w:val="single" w:sz="4" w:space="0" w:color="000000"/>
            </w:tcBorders>
          </w:tcPr>
          <w:p w14:paraId="34C63F71"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Rregullatore; Financiare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72" w14:textId="4BDFEFD7"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Përllogaritur në 20 mijë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73"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7B" w14:textId="77777777" w:rsidTr="00852E36">
        <w:tblPrEx>
          <w:tblCellMar>
            <w:top w:w="40" w:type="dxa"/>
            <w:left w:w="107" w:type="dxa"/>
            <w:right w:w="70"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F75"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49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76"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EE-P1 </w:t>
            </w:r>
          </w:p>
        </w:tc>
        <w:tc>
          <w:tcPr>
            <w:tcW w:w="1381" w:type="pct"/>
            <w:tcBorders>
              <w:top w:val="single" w:sz="4" w:space="0" w:color="000000"/>
              <w:left w:val="single" w:sz="4" w:space="0" w:color="000000"/>
              <w:bottom w:val="single" w:sz="4" w:space="0" w:color="000000"/>
              <w:right w:val="single" w:sz="4" w:space="0" w:color="000000"/>
            </w:tcBorders>
          </w:tcPr>
          <w:p w14:paraId="34C63F77"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Masat për efiçencën e energjisë që lidhen me blerjen nga autoritetet publike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78"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79" w14:textId="77777777"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Rreth 50 mijë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7A"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82" w14:textId="77777777" w:rsidTr="00852E36">
        <w:tblPrEx>
          <w:tblCellMar>
            <w:top w:w="40" w:type="dxa"/>
            <w:left w:w="107" w:type="dxa"/>
            <w:right w:w="70"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F7C"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50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7D"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EE-P2 </w:t>
            </w:r>
          </w:p>
        </w:tc>
        <w:tc>
          <w:tcPr>
            <w:tcW w:w="1381" w:type="pct"/>
            <w:tcBorders>
              <w:top w:val="single" w:sz="4" w:space="0" w:color="000000"/>
              <w:left w:val="single" w:sz="4" w:space="0" w:color="000000"/>
              <w:bottom w:val="single" w:sz="4" w:space="0" w:color="000000"/>
              <w:right w:val="single" w:sz="4" w:space="0" w:color="000000"/>
            </w:tcBorders>
          </w:tcPr>
          <w:p w14:paraId="34C63F7E"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Planet bashkiake të veprimit për efiçencën e energjisë, zbatimi dhe raportimi </w:t>
            </w:r>
          </w:p>
        </w:tc>
        <w:tc>
          <w:tcPr>
            <w:tcW w:w="705" w:type="pct"/>
            <w:tcBorders>
              <w:top w:val="single" w:sz="4" w:space="0" w:color="000000"/>
              <w:left w:val="single" w:sz="4" w:space="0" w:color="000000"/>
              <w:bottom w:val="single" w:sz="4" w:space="0" w:color="000000"/>
              <w:right w:val="single" w:sz="4" w:space="0" w:color="000000"/>
            </w:tcBorders>
          </w:tcPr>
          <w:p w14:paraId="34C63F7F"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Rregullatore, Edukative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80" w14:textId="77777777"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Rreth 6 milionë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81"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F89" w14:textId="77777777" w:rsidTr="00852E36">
        <w:tblPrEx>
          <w:tblCellMar>
            <w:top w:w="40" w:type="dxa"/>
            <w:left w:w="107" w:type="dxa"/>
            <w:right w:w="70"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F83"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51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84"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EE-P3 </w:t>
            </w:r>
          </w:p>
        </w:tc>
        <w:tc>
          <w:tcPr>
            <w:tcW w:w="1381" w:type="pct"/>
            <w:tcBorders>
              <w:top w:val="single" w:sz="4" w:space="0" w:color="000000"/>
              <w:left w:val="single" w:sz="4" w:space="0" w:color="000000"/>
              <w:bottom w:val="single" w:sz="4" w:space="0" w:color="000000"/>
              <w:right w:val="single" w:sz="4" w:space="0" w:color="000000"/>
            </w:tcBorders>
          </w:tcPr>
          <w:p w14:paraId="34C63F85"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Përgatitja e planeve të integruara zhvillimore bashkiake/rajonale të cilat janë të lidhura me PKEK-në </w:t>
            </w:r>
          </w:p>
        </w:tc>
        <w:tc>
          <w:tcPr>
            <w:tcW w:w="705" w:type="pct"/>
            <w:tcBorders>
              <w:top w:val="single" w:sz="4" w:space="0" w:color="000000"/>
              <w:left w:val="single" w:sz="4" w:space="0" w:color="000000"/>
              <w:bottom w:val="single" w:sz="4" w:space="0" w:color="000000"/>
              <w:right w:val="single" w:sz="4" w:space="0" w:color="000000"/>
            </w:tcBorders>
          </w:tcPr>
          <w:p w14:paraId="34C63F86"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Rregullatore; Teknike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87" w14:textId="77777777"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Përllogaritur në 0,3 milionë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88"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91" w14:textId="77777777" w:rsidTr="00852E36">
        <w:tblPrEx>
          <w:tblCellMar>
            <w:top w:w="40" w:type="dxa"/>
            <w:left w:w="107" w:type="dxa"/>
            <w:right w:w="70" w:type="dxa"/>
          </w:tblCellMar>
        </w:tblPrEx>
        <w:trPr>
          <w:trHeight w:val="527"/>
        </w:trPr>
        <w:tc>
          <w:tcPr>
            <w:tcW w:w="260" w:type="pct"/>
            <w:tcBorders>
              <w:top w:val="single" w:sz="4" w:space="0" w:color="000000"/>
              <w:left w:val="single" w:sz="4" w:space="0" w:color="000000"/>
              <w:bottom w:val="single" w:sz="4" w:space="0" w:color="000000"/>
              <w:right w:val="single" w:sz="4" w:space="0" w:color="000000"/>
            </w:tcBorders>
            <w:vAlign w:val="center"/>
          </w:tcPr>
          <w:p w14:paraId="34C63F8A"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52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8B"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EE-E1 </w:t>
            </w:r>
          </w:p>
        </w:tc>
        <w:tc>
          <w:tcPr>
            <w:tcW w:w="1381" w:type="pct"/>
            <w:tcBorders>
              <w:top w:val="single" w:sz="4" w:space="0" w:color="000000"/>
              <w:left w:val="single" w:sz="4" w:space="0" w:color="000000"/>
              <w:bottom w:val="single" w:sz="4" w:space="0" w:color="000000"/>
              <w:right w:val="single" w:sz="4" w:space="0" w:color="000000"/>
            </w:tcBorders>
          </w:tcPr>
          <w:p w14:paraId="34C63F8C" w14:textId="77777777" w:rsidR="009D56D9" w:rsidRPr="00CE59C6" w:rsidRDefault="009D56D9" w:rsidP="00CE45B5">
            <w:pPr>
              <w:spacing w:line="259" w:lineRule="auto"/>
              <w:ind w:left="4" w:right="23"/>
              <w:rPr>
                <w:rFonts w:asciiTheme="majorHAnsi" w:hAnsiTheme="majorHAnsi" w:cstheme="majorHAnsi"/>
                <w:sz w:val="20"/>
                <w:szCs w:val="20"/>
              </w:rPr>
            </w:pPr>
            <w:r>
              <w:rPr>
                <w:rFonts w:asciiTheme="majorHAnsi" w:hAnsiTheme="majorHAnsi"/>
                <w:sz w:val="20"/>
                <w:szCs w:val="20"/>
              </w:rPr>
              <w:t xml:space="preserve">Auditimet e energjisë për konsumatorët e mëdhenj, me fokus në aktivitetet industriale </w:t>
            </w:r>
          </w:p>
        </w:tc>
        <w:tc>
          <w:tcPr>
            <w:tcW w:w="705" w:type="pct"/>
            <w:tcBorders>
              <w:top w:val="single" w:sz="4" w:space="0" w:color="000000"/>
              <w:left w:val="single" w:sz="4" w:space="0" w:color="000000"/>
              <w:bottom w:val="single" w:sz="4" w:space="0" w:color="000000"/>
              <w:right w:val="single" w:sz="4" w:space="0" w:color="000000"/>
            </w:tcBorders>
          </w:tcPr>
          <w:p w14:paraId="34C63F8D" w14:textId="3378D143" w:rsidR="009D56D9" w:rsidRPr="00CE59C6" w:rsidRDefault="00EB03C6" w:rsidP="00CE45B5">
            <w:pPr>
              <w:spacing w:line="259" w:lineRule="auto"/>
              <w:ind w:left="4"/>
              <w:jc w:val="left"/>
              <w:rPr>
                <w:rFonts w:asciiTheme="majorHAnsi" w:hAnsiTheme="majorHAnsi" w:cstheme="majorHAnsi"/>
                <w:sz w:val="20"/>
                <w:szCs w:val="20"/>
              </w:rPr>
            </w:pPr>
            <w:r>
              <w:rPr>
                <w:rFonts w:asciiTheme="majorHAnsi" w:hAnsiTheme="majorHAnsi"/>
                <w:sz w:val="20"/>
                <w:szCs w:val="20"/>
              </w:rPr>
              <w:t>Rregullatore.</w:t>
            </w:r>
          </w:p>
          <w:p w14:paraId="34C63F8E"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Organizative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8F" w14:textId="77777777"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Pritet vlerësimi i kostove të auditimeve të energjisë.</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90"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F9A" w14:textId="77777777" w:rsidTr="00852E36">
        <w:tblPrEx>
          <w:tblCellMar>
            <w:top w:w="40" w:type="dxa"/>
            <w:left w:w="107" w:type="dxa"/>
            <w:right w:w="70" w:type="dxa"/>
          </w:tblCellMar>
        </w:tblPrEx>
        <w:trPr>
          <w:trHeight w:val="762"/>
        </w:trPr>
        <w:tc>
          <w:tcPr>
            <w:tcW w:w="260" w:type="pct"/>
            <w:tcBorders>
              <w:top w:val="single" w:sz="4" w:space="0" w:color="000000"/>
              <w:left w:val="single" w:sz="4" w:space="0" w:color="000000"/>
              <w:bottom w:val="single" w:sz="4" w:space="0" w:color="000000"/>
              <w:right w:val="single" w:sz="4" w:space="0" w:color="000000"/>
            </w:tcBorders>
            <w:vAlign w:val="center"/>
          </w:tcPr>
          <w:p w14:paraId="34C63F92"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53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93"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EE-E2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F94"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Sistemet e menaxhimit të energjisë për NVM-të </w:t>
            </w:r>
          </w:p>
        </w:tc>
        <w:tc>
          <w:tcPr>
            <w:tcW w:w="705" w:type="pct"/>
            <w:tcBorders>
              <w:top w:val="single" w:sz="4" w:space="0" w:color="000000"/>
              <w:left w:val="single" w:sz="4" w:space="0" w:color="000000"/>
              <w:bottom w:val="single" w:sz="4" w:space="0" w:color="000000"/>
              <w:right w:val="single" w:sz="4" w:space="0" w:color="000000"/>
            </w:tcBorders>
          </w:tcPr>
          <w:p w14:paraId="34C63F95" w14:textId="3F370796" w:rsidR="009D56D9" w:rsidRPr="00CE59C6" w:rsidRDefault="00EB03C6" w:rsidP="00CE45B5">
            <w:pPr>
              <w:spacing w:line="259" w:lineRule="auto"/>
              <w:ind w:left="4"/>
              <w:jc w:val="left"/>
              <w:rPr>
                <w:rFonts w:asciiTheme="majorHAnsi" w:hAnsiTheme="majorHAnsi" w:cstheme="majorHAnsi"/>
                <w:sz w:val="20"/>
                <w:szCs w:val="20"/>
              </w:rPr>
            </w:pPr>
            <w:r>
              <w:rPr>
                <w:rFonts w:asciiTheme="majorHAnsi" w:hAnsiTheme="majorHAnsi"/>
                <w:sz w:val="20"/>
                <w:szCs w:val="20"/>
              </w:rPr>
              <w:t>Rregullatore.</w:t>
            </w:r>
          </w:p>
          <w:p w14:paraId="34C63F96" w14:textId="61AF4145" w:rsidR="009D56D9" w:rsidRPr="00CE59C6" w:rsidRDefault="00EB03C6" w:rsidP="00CE45B5">
            <w:pPr>
              <w:spacing w:line="259" w:lineRule="auto"/>
              <w:ind w:left="4"/>
              <w:jc w:val="left"/>
              <w:rPr>
                <w:rFonts w:asciiTheme="majorHAnsi" w:hAnsiTheme="majorHAnsi" w:cstheme="majorHAnsi"/>
                <w:sz w:val="20"/>
                <w:szCs w:val="20"/>
              </w:rPr>
            </w:pPr>
            <w:r>
              <w:rPr>
                <w:rFonts w:asciiTheme="majorHAnsi" w:hAnsiTheme="majorHAnsi"/>
                <w:sz w:val="20"/>
                <w:szCs w:val="20"/>
              </w:rPr>
              <w:t>Organizative.</w:t>
            </w:r>
          </w:p>
          <w:p w14:paraId="34C63F97"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Promocionale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98" w14:textId="77777777"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Është përllogaritur një shumë prej 3 milionë euro (duke marrë në konsideratë mbështetjen shumëvjeçare).</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99"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A1" w14:textId="77777777" w:rsidTr="00852E36">
        <w:tblPrEx>
          <w:tblCellMar>
            <w:top w:w="40" w:type="dxa"/>
            <w:left w:w="107" w:type="dxa"/>
            <w:right w:w="70"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F9B"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lastRenderedPageBreak/>
              <w:t xml:space="preserve">54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9C"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EE-C1 </w:t>
            </w:r>
          </w:p>
        </w:tc>
        <w:tc>
          <w:tcPr>
            <w:tcW w:w="1381" w:type="pct"/>
            <w:tcBorders>
              <w:top w:val="single" w:sz="4" w:space="0" w:color="000000"/>
              <w:left w:val="single" w:sz="4" w:space="0" w:color="000000"/>
              <w:bottom w:val="single" w:sz="4" w:space="0" w:color="000000"/>
              <w:right w:val="single" w:sz="4" w:space="0" w:color="000000"/>
            </w:tcBorders>
          </w:tcPr>
          <w:p w14:paraId="34C63F9D"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Prezantimi i kërkesave të etiketimit të energjisë dhe të dizajnit ekologjik </w:t>
            </w:r>
          </w:p>
        </w:tc>
        <w:tc>
          <w:tcPr>
            <w:tcW w:w="705" w:type="pct"/>
            <w:tcBorders>
              <w:top w:val="single" w:sz="4" w:space="0" w:color="000000"/>
              <w:left w:val="single" w:sz="4" w:space="0" w:color="000000"/>
              <w:bottom w:val="single" w:sz="4" w:space="0" w:color="000000"/>
              <w:right w:val="single" w:sz="4" w:space="0" w:color="000000"/>
            </w:tcBorders>
          </w:tcPr>
          <w:p w14:paraId="34C63F9E"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Rregullatore; Informative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9F" w14:textId="77777777"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70 milion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A0"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A8" w14:textId="77777777" w:rsidTr="00852E36">
        <w:tblPrEx>
          <w:tblCellMar>
            <w:top w:w="40" w:type="dxa"/>
            <w:left w:w="107" w:type="dxa"/>
            <w:right w:w="70" w:type="dxa"/>
          </w:tblCellMar>
        </w:tblPrEx>
        <w:trPr>
          <w:trHeight w:val="566"/>
        </w:trPr>
        <w:tc>
          <w:tcPr>
            <w:tcW w:w="260" w:type="pct"/>
            <w:tcBorders>
              <w:top w:val="single" w:sz="4" w:space="0" w:color="000000"/>
              <w:left w:val="single" w:sz="4" w:space="0" w:color="000000"/>
              <w:bottom w:val="single" w:sz="4" w:space="0" w:color="000000"/>
              <w:right w:val="single" w:sz="4" w:space="0" w:color="000000"/>
            </w:tcBorders>
            <w:vAlign w:val="center"/>
          </w:tcPr>
          <w:p w14:paraId="34C63FA2"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55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A3"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EE-T1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FA4"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Etiketimi i energjisë për makinat e reja </w:t>
            </w:r>
          </w:p>
        </w:tc>
        <w:tc>
          <w:tcPr>
            <w:tcW w:w="705" w:type="pct"/>
            <w:tcBorders>
              <w:top w:val="single" w:sz="4" w:space="0" w:color="000000"/>
              <w:left w:val="single" w:sz="4" w:space="0" w:color="000000"/>
              <w:bottom w:val="single" w:sz="4" w:space="0" w:color="000000"/>
              <w:right w:val="single" w:sz="4" w:space="0" w:color="000000"/>
            </w:tcBorders>
          </w:tcPr>
          <w:p w14:paraId="34C63FA5"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Informative; Edukative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A6" w14:textId="77777777"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2 milion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A7"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B0" w14:textId="77777777" w:rsidTr="00852E36">
        <w:tblPrEx>
          <w:tblCellMar>
            <w:top w:w="40" w:type="dxa"/>
            <w:left w:w="107" w:type="dxa"/>
            <w:right w:w="70"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FA9"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56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AA"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EE-T2 </w:t>
            </w:r>
          </w:p>
        </w:tc>
        <w:tc>
          <w:tcPr>
            <w:tcW w:w="1381" w:type="pct"/>
            <w:tcBorders>
              <w:top w:val="single" w:sz="4" w:space="0" w:color="000000"/>
              <w:left w:val="single" w:sz="4" w:space="0" w:color="000000"/>
              <w:bottom w:val="single" w:sz="4" w:space="0" w:color="000000"/>
              <w:right w:val="single" w:sz="4" w:space="0" w:color="000000"/>
            </w:tcBorders>
          </w:tcPr>
          <w:p w14:paraId="34C63FAB"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Rritja e përqindjes së automjeteve elektrike në flotën kombëtare të automjeteve. </w:t>
            </w:r>
          </w:p>
        </w:tc>
        <w:tc>
          <w:tcPr>
            <w:tcW w:w="705" w:type="pct"/>
            <w:tcBorders>
              <w:top w:val="single" w:sz="4" w:space="0" w:color="000000"/>
              <w:left w:val="single" w:sz="4" w:space="0" w:color="000000"/>
              <w:bottom w:val="single" w:sz="4" w:space="0" w:color="000000"/>
              <w:right w:val="single" w:sz="4" w:space="0" w:color="000000"/>
            </w:tcBorders>
          </w:tcPr>
          <w:p w14:paraId="34C63FAC" w14:textId="344E8185" w:rsidR="009D56D9" w:rsidRPr="00CE59C6" w:rsidRDefault="00EB03C6" w:rsidP="00CE45B5">
            <w:pPr>
              <w:spacing w:line="259" w:lineRule="auto"/>
              <w:ind w:left="4"/>
              <w:jc w:val="left"/>
              <w:rPr>
                <w:rFonts w:asciiTheme="majorHAnsi" w:hAnsiTheme="majorHAnsi" w:cstheme="majorHAnsi"/>
                <w:sz w:val="20"/>
                <w:szCs w:val="20"/>
              </w:rPr>
            </w:pPr>
            <w:r>
              <w:rPr>
                <w:rFonts w:asciiTheme="majorHAnsi" w:hAnsiTheme="majorHAnsi"/>
                <w:sz w:val="20"/>
                <w:szCs w:val="20"/>
              </w:rPr>
              <w:t>Rregullatore.</w:t>
            </w:r>
          </w:p>
          <w:p w14:paraId="34C63FAD"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Financiare; Fiskale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AE" w14:textId="77777777" w:rsidR="009D56D9" w:rsidRPr="00CE59C6" w:rsidRDefault="00E5411F" w:rsidP="00E5411F">
            <w:pPr>
              <w:spacing w:line="259" w:lineRule="auto"/>
              <w:ind w:left="1"/>
              <w:jc w:val="left"/>
              <w:rPr>
                <w:rFonts w:asciiTheme="majorHAnsi" w:hAnsiTheme="majorHAnsi" w:cstheme="majorHAnsi"/>
                <w:sz w:val="20"/>
                <w:szCs w:val="20"/>
              </w:rPr>
            </w:pPr>
            <w:r>
              <w:rPr>
                <w:rFonts w:asciiTheme="majorHAnsi" w:hAnsiTheme="majorHAnsi"/>
                <w:sz w:val="20"/>
                <w:szCs w:val="20"/>
              </w:rPr>
              <w:t>Rreth 5 milionë euro CAPEX (shpenzime kapitale) në infrastrukturat e stacioneve të karikimit. Pasurimi i flotës së taksive me modele hibride apo elektrike me një kosto kapitale prej 0,5 milionë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AF"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WAM </w:t>
            </w:r>
          </w:p>
        </w:tc>
      </w:tr>
      <w:tr w:rsidR="009D56D9" w:rsidRPr="00CE59C6" w14:paraId="34C63FB8" w14:textId="77777777" w:rsidTr="00852E36">
        <w:tblPrEx>
          <w:tblCellMar>
            <w:top w:w="40" w:type="dxa"/>
            <w:left w:w="107" w:type="dxa"/>
            <w:right w:w="70" w:type="dxa"/>
          </w:tblCellMar>
        </w:tblPrEx>
        <w:trPr>
          <w:trHeight w:val="530"/>
        </w:trPr>
        <w:tc>
          <w:tcPr>
            <w:tcW w:w="260" w:type="pct"/>
            <w:tcBorders>
              <w:top w:val="single" w:sz="4" w:space="0" w:color="000000"/>
              <w:left w:val="single" w:sz="4" w:space="0" w:color="000000"/>
              <w:bottom w:val="single" w:sz="4" w:space="0" w:color="000000"/>
              <w:right w:val="single" w:sz="4" w:space="0" w:color="000000"/>
            </w:tcBorders>
            <w:vAlign w:val="center"/>
          </w:tcPr>
          <w:p w14:paraId="34C63FB1"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57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B2"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EE-T3 </w:t>
            </w:r>
          </w:p>
        </w:tc>
        <w:tc>
          <w:tcPr>
            <w:tcW w:w="1381" w:type="pct"/>
            <w:tcBorders>
              <w:top w:val="single" w:sz="4" w:space="0" w:color="000000"/>
              <w:left w:val="single" w:sz="4" w:space="0" w:color="000000"/>
              <w:bottom w:val="single" w:sz="4" w:space="0" w:color="000000"/>
              <w:right w:val="single" w:sz="4" w:space="0" w:color="000000"/>
            </w:tcBorders>
            <w:vAlign w:val="center"/>
          </w:tcPr>
          <w:p w14:paraId="34C63FB3"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Mekanizmat mbështetës për EE-në dhe automjetet ekologjike </w:t>
            </w:r>
          </w:p>
        </w:tc>
        <w:tc>
          <w:tcPr>
            <w:tcW w:w="705" w:type="pct"/>
            <w:tcBorders>
              <w:top w:val="single" w:sz="4" w:space="0" w:color="000000"/>
              <w:left w:val="single" w:sz="4" w:space="0" w:color="000000"/>
              <w:bottom w:val="single" w:sz="4" w:space="0" w:color="000000"/>
              <w:right w:val="single" w:sz="4" w:space="0" w:color="000000"/>
            </w:tcBorders>
          </w:tcPr>
          <w:p w14:paraId="34C63FB4" w14:textId="71F4E9AA" w:rsidR="009D56D9" w:rsidRPr="00CE59C6" w:rsidRDefault="00EB03C6" w:rsidP="00CE45B5">
            <w:pPr>
              <w:spacing w:line="259" w:lineRule="auto"/>
              <w:ind w:left="4"/>
              <w:jc w:val="left"/>
              <w:rPr>
                <w:rFonts w:asciiTheme="majorHAnsi" w:hAnsiTheme="majorHAnsi" w:cstheme="majorHAnsi"/>
                <w:sz w:val="20"/>
                <w:szCs w:val="20"/>
              </w:rPr>
            </w:pPr>
            <w:r>
              <w:rPr>
                <w:rFonts w:asciiTheme="majorHAnsi" w:hAnsiTheme="majorHAnsi"/>
                <w:sz w:val="20"/>
                <w:szCs w:val="20"/>
              </w:rPr>
              <w:t>Rregullatore.</w:t>
            </w:r>
          </w:p>
          <w:p w14:paraId="34C63FB5"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Financiare; Fiskale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B6" w14:textId="6E10C9E3" w:rsidR="009D56D9" w:rsidRPr="00CE59C6" w:rsidRDefault="009E7331" w:rsidP="009E7331">
            <w:pPr>
              <w:spacing w:line="259" w:lineRule="auto"/>
              <w:ind w:left="1"/>
              <w:jc w:val="left"/>
              <w:rPr>
                <w:rFonts w:asciiTheme="majorHAnsi" w:hAnsiTheme="majorHAnsi" w:cstheme="majorHAnsi"/>
                <w:sz w:val="20"/>
                <w:szCs w:val="20"/>
              </w:rPr>
            </w:pPr>
            <w:r>
              <w:rPr>
                <w:rFonts w:asciiTheme="majorHAnsi" w:hAnsiTheme="majorHAnsi"/>
                <w:sz w:val="20"/>
                <w:szCs w:val="20"/>
              </w:rPr>
              <w:t>Për të arritur objektivin prej 15,5% për EE-në brenda vitit 2030 është parashikuar një investim prej rreth 228 milionë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B7"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FBF" w14:textId="77777777" w:rsidTr="00852E36">
        <w:tblPrEx>
          <w:tblCellMar>
            <w:top w:w="40" w:type="dxa"/>
            <w:left w:w="107" w:type="dxa"/>
            <w:right w:w="70" w:type="dxa"/>
          </w:tblCellMar>
        </w:tblPrEx>
        <w:trPr>
          <w:trHeight w:val="612"/>
        </w:trPr>
        <w:tc>
          <w:tcPr>
            <w:tcW w:w="260" w:type="pct"/>
            <w:tcBorders>
              <w:top w:val="single" w:sz="4" w:space="0" w:color="000000"/>
              <w:left w:val="single" w:sz="4" w:space="0" w:color="000000"/>
              <w:bottom w:val="single" w:sz="4" w:space="0" w:color="000000"/>
              <w:right w:val="single" w:sz="4" w:space="0" w:color="000000"/>
            </w:tcBorders>
            <w:vAlign w:val="center"/>
          </w:tcPr>
          <w:p w14:paraId="34C63FB9"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58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BA"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EE-T4 </w:t>
            </w:r>
          </w:p>
        </w:tc>
        <w:tc>
          <w:tcPr>
            <w:tcW w:w="1381" w:type="pct"/>
            <w:tcBorders>
              <w:top w:val="single" w:sz="4" w:space="0" w:color="000000"/>
              <w:left w:val="single" w:sz="4" w:space="0" w:color="000000"/>
              <w:bottom w:val="single" w:sz="4" w:space="0" w:color="000000"/>
              <w:right w:val="single" w:sz="4" w:space="0" w:color="000000"/>
            </w:tcBorders>
          </w:tcPr>
          <w:p w14:paraId="34C63FBB"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Rritja e përqindjes së transportit publik për udhëtarët dhe mallrat (në rrugë tokësore, ujore dhe hekurudhore)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BC"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Rregullatore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BD" w14:textId="77777777" w:rsidR="009D56D9" w:rsidRPr="00CE59C6" w:rsidRDefault="009E7331" w:rsidP="009E7331">
            <w:pPr>
              <w:spacing w:line="259" w:lineRule="auto"/>
              <w:ind w:left="1"/>
              <w:jc w:val="left"/>
              <w:rPr>
                <w:rFonts w:asciiTheme="majorHAnsi" w:hAnsiTheme="majorHAnsi" w:cstheme="majorHAnsi"/>
                <w:sz w:val="20"/>
                <w:szCs w:val="20"/>
              </w:rPr>
            </w:pPr>
            <w:r>
              <w:rPr>
                <w:rFonts w:asciiTheme="majorHAnsi" w:hAnsiTheme="majorHAnsi"/>
                <w:sz w:val="20"/>
                <w:szCs w:val="20"/>
              </w:rPr>
              <w:t>Nuk ka një vlerë të vetme, pasi ekzistojnë disa projekte që lidhen me ndërhyrje të ndryshme për sistemin e transportit. Durrës-Tiranë- Rinas 129 milionë euro</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BE"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WEM </w:t>
            </w:r>
          </w:p>
        </w:tc>
      </w:tr>
      <w:tr w:rsidR="009D56D9" w:rsidRPr="00CE59C6" w14:paraId="34C63FC6" w14:textId="77777777" w:rsidTr="00852E36">
        <w:tblPrEx>
          <w:tblCellMar>
            <w:top w:w="40" w:type="dxa"/>
            <w:left w:w="107" w:type="dxa"/>
            <w:right w:w="70" w:type="dxa"/>
          </w:tblCellMar>
        </w:tblPrEx>
        <w:trPr>
          <w:trHeight w:val="760"/>
        </w:trPr>
        <w:tc>
          <w:tcPr>
            <w:tcW w:w="260" w:type="pct"/>
            <w:tcBorders>
              <w:top w:val="single" w:sz="4" w:space="0" w:color="000000"/>
              <w:left w:val="single" w:sz="4" w:space="0" w:color="000000"/>
              <w:bottom w:val="single" w:sz="4" w:space="0" w:color="000000"/>
              <w:right w:val="single" w:sz="4" w:space="0" w:color="000000"/>
            </w:tcBorders>
            <w:vAlign w:val="center"/>
          </w:tcPr>
          <w:p w14:paraId="34C63FC0" w14:textId="77777777" w:rsidR="009D56D9" w:rsidRPr="00CE59C6" w:rsidRDefault="009D56D9" w:rsidP="00CE45B5">
            <w:pPr>
              <w:spacing w:line="259" w:lineRule="auto"/>
              <w:ind w:right="34"/>
              <w:jc w:val="center"/>
              <w:rPr>
                <w:rFonts w:asciiTheme="majorHAnsi" w:hAnsiTheme="majorHAnsi" w:cstheme="majorHAnsi"/>
                <w:sz w:val="20"/>
                <w:szCs w:val="20"/>
              </w:rPr>
            </w:pPr>
            <w:r>
              <w:rPr>
                <w:rFonts w:asciiTheme="majorHAnsi" w:hAnsiTheme="majorHAnsi"/>
                <w:sz w:val="20"/>
                <w:szCs w:val="20"/>
              </w:rPr>
              <w:t xml:space="preserve">59 </w:t>
            </w:r>
          </w:p>
        </w:tc>
        <w:tc>
          <w:tcPr>
            <w:tcW w:w="373" w:type="pct"/>
            <w:tcBorders>
              <w:top w:val="single" w:sz="4" w:space="0" w:color="000000"/>
              <w:left w:val="single" w:sz="4" w:space="0" w:color="000000"/>
              <w:bottom w:val="single" w:sz="4" w:space="0" w:color="000000"/>
              <w:right w:val="single" w:sz="4" w:space="0" w:color="000000"/>
            </w:tcBorders>
            <w:vAlign w:val="center"/>
          </w:tcPr>
          <w:p w14:paraId="34C63FC1"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EE-T5 </w:t>
            </w:r>
          </w:p>
        </w:tc>
        <w:tc>
          <w:tcPr>
            <w:tcW w:w="1381" w:type="pct"/>
            <w:tcBorders>
              <w:top w:val="single" w:sz="4" w:space="0" w:color="000000"/>
              <w:left w:val="single" w:sz="4" w:space="0" w:color="000000"/>
              <w:bottom w:val="single" w:sz="4" w:space="0" w:color="000000"/>
              <w:right w:val="single" w:sz="4" w:space="0" w:color="000000"/>
            </w:tcBorders>
          </w:tcPr>
          <w:p w14:paraId="34C63FC2"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Përmirësimi i rrjetit të transportit hekurudhor që lidh Shqipërinë me rrjetin ndërkombëtar të transportit hekurudhor </w:t>
            </w:r>
          </w:p>
        </w:tc>
        <w:tc>
          <w:tcPr>
            <w:tcW w:w="705" w:type="pct"/>
            <w:tcBorders>
              <w:top w:val="single" w:sz="4" w:space="0" w:color="000000"/>
              <w:left w:val="single" w:sz="4" w:space="0" w:color="000000"/>
              <w:bottom w:val="single" w:sz="4" w:space="0" w:color="000000"/>
              <w:right w:val="single" w:sz="4" w:space="0" w:color="000000"/>
            </w:tcBorders>
            <w:vAlign w:val="center"/>
          </w:tcPr>
          <w:p w14:paraId="34C63FC3" w14:textId="77777777" w:rsidR="009D56D9" w:rsidRPr="00CE59C6" w:rsidRDefault="009D56D9" w:rsidP="00CE45B5">
            <w:pPr>
              <w:spacing w:line="259" w:lineRule="auto"/>
              <w:ind w:left="4"/>
              <w:jc w:val="left"/>
              <w:rPr>
                <w:rFonts w:asciiTheme="majorHAnsi" w:hAnsiTheme="majorHAnsi" w:cstheme="majorHAnsi"/>
                <w:sz w:val="20"/>
                <w:szCs w:val="20"/>
              </w:rPr>
            </w:pPr>
            <w:r>
              <w:rPr>
                <w:rFonts w:asciiTheme="majorHAnsi" w:hAnsiTheme="majorHAnsi"/>
                <w:sz w:val="20"/>
                <w:szCs w:val="20"/>
              </w:rPr>
              <w:t xml:space="preserve">Rregullatore; Financiare </w:t>
            </w:r>
          </w:p>
        </w:tc>
        <w:tc>
          <w:tcPr>
            <w:tcW w:w="1706" w:type="pct"/>
            <w:tcBorders>
              <w:top w:val="single" w:sz="4" w:space="0" w:color="000000"/>
              <w:left w:val="single" w:sz="4" w:space="0" w:color="000000"/>
              <w:bottom w:val="single" w:sz="4" w:space="0" w:color="000000"/>
              <w:right w:val="single" w:sz="4" w:space="0" w:color="000000"/>
            </w:tcBorders>
            <w:vAlign w:val="center"/>
          </w:tcPr>
          <w:p w14:paraId="34C63FC4" w14:textId="77777777" w:rsidR="009D56D9" w:rsidRPr="00CE59C6" w:rsidRDefault="009E7331" w:rsidP="009E7331">
            <w:pPr>
              <w:spacing w:line="259" w:lineRule="auto"/>
              <w:ind w:left="1"/>
              <w:jc w:val="left"/>
              <w:rPr>
                <w:rFonts w:asciiTheme="majorHAnsi" w:hAnsiTheme="majorHAnsi" w:cstheme="majorHAnsi"/>
                <w:sz w:val="20"/>
                <w:szCs w:val="20"/>
              </w:rPr>
            </w:pPr>
            <w:r>
              <w:rPr>
                <w:rFonts w:asciiTheme="majorHAnsi" w:hAnsiTheme="majorHAnsi"/>
                <w:sz w:val="20"/>
                <w:szCs w:val="20"/>
              </w:rPr>
              <w:t>Do të përcaktohet në vazhdim</w:t>
            </w:r>
          </w:p>
        </w:tc>
        <w:tc>
          <w:tcPr>
            <w:tcW w:w="575" w:type="pct"/>
            <w:tcBorders>
              <w:top w:val="single" w:sz="4" w:space="0" w:color="000000"/>
              <w:left w:val="single" w:sz="4" w:space="0" w:color="000000"/>
              <w:bottom w:val="single" w:sz="4" w:space="0" w:color="000000"/>
              <w:right w:val="single" w:sz="4" w:space="0" w:color="000000"/>
            </w:tcBorders>
            <w:vAlign w:val="center"/>
          </w:tcPr>
          <w:p w14:paraId="34C63FC5" w14:textId="77777777" w:rsidR="009D56D9" w:rsidRPr="00CE59C6" w:rsidRDefault="009D56D9" w:rsidP="00CE45B5">
            <w:pPr>
              <w:spacing w:line="259" w:lineRule="auto"/>
              <w:ind w:left="1"/>
              <w:jc w:val="left"/>
              <w:rPr>
                <w:rFonts w:asciiTheme="majorHAnsi" w:hAnsiTheme="majorHAnsi" w:cstheme="majorHAnsi"/>
                <w:sz w:val="20"/>
                <w:szCs w:val="20"/>
              </w:rPr>
            </w:pPr>
            <w:r>
              <w:rPr>
                <w:rFonts w:asciiTheme="majorHAnsi" w:hAnsiTheme="majorHAnsi"/>
                <w:sz w:val="20"/>
                <w:szCs w:val="20"/>
              </w:rPr>
              <w:t xml:space="preserve">WEM dhe WAM </w:t>
            </w:r>
          </w:p>
        </w:tc>
      </w:tr>
    </w:tbl>
    <w:p w14:paraId="34C63FC8" w14:textId="77777777" w:rsidR="007B4BBD" w:rsidRPr="00213150" w:rsidRDefault="007B4BBD" w:rsidP="00213150">
      <w:pPr>
        <w:pStyle w:val="BodyText"/>
        <w:jc w:val="both"/>
        <w:rPr>
          <w:rFonts w:asciiTheme="majorHAnsi" w:hAnsiTheme="majorHAnsi" w:cstheme="majorHAnsi"/>
        </w:rPr>
      </w:pPr>
    </w:p>
    <w:p w14:paraId="7BB2A7F7" w14:textId="598B4E70" w:rsidR="00EB03C6" w:rsidRDefault="00213150" w:rsidP="00DF05F7">
      <w:pPr>
        <w:pStyle w:val="Heading2"/>
        <w:spacing w:before="120"/>
        <w:rPr>
          <w:rFonts w:asciiTheme="majorHAnsi" w:hAnsiTheme="majorHAnsi" w:cstheme="majorHAnsi"/>
        </w:rPr>
      </w:pPr>
      <w:bookmarkStart w:id="35" w:name="_Toc216778861"/>
      <w:r>
        <w:rPr>
          <w:rFonts w:asciiTheme="majorHAnsi" w:hAnsiTheme="majorHAnsi"/>
        </w:rPr>
        <w:t>4.5 Financimi i përllogaritur për masat zbutëse</w:t>
      </w:r>
      <w:bookmarkEnd w:id="35"/>
    </w:p>
    <w:p w14:paraId="34C63FCA" w14:textId="58381CB8" w:rsidR="00B8253C" w:rsidRPr="00B8253C" w:rsidRDefault="00B8253C" w:rsidP="00B8253C">
      <w:pPr>
        <w:pStyle w:val="BodyText"/>
        <w:jc w:val="both"/>
        <w:rPr>
          <w:rFonts w:asciiTheme="majorHAnsi" w:hAnsiTheme="majorHAnsi" w:cstheme="majorHAnsi"/>
        </w:rPr>
      </w:pPr>
      <w:r>
        <w:rPr>
          <w:rFonts w:asciiTheme="majorHAnsi" w:hAnsiTheme="majorHAnsi"/>
        </w:rPr>
        <w:t>Ky seksion parashikon nevojat e përllogaritura për investim dhe financim të identifikuara në Planin Kombëtar të Energjisë dhe Klimës (PKEK) 2025 të Shqipërisë. Vlerësimet buxhetore të paraqitura shërbejnë si një udhëzues i përgjithshëm për të mbështetur planifikimin dhe zbatimin e detajuar të politikave dhe masave (PM) individuale.</w:t>
      </w:r>
    </w:p>
    <w:p w14:paraId="34C63FCB" w14:textId="77777777" w:rsidR="00B8253C" w:rsidRPr="00A02F28" w:rsidRDefault="00B8253C" w:rsidP="00B8253C">
      <w:pPr>
        <w:pStyle w:val="BodyText"/>
        <w:jc w:val="both"/>
        <w:rPr>
          <w:rFonts w:asciiTheme="majorHAnsi" w:hAnsiTheme="majorHAnsi" w:cstheme="majorHAnsi"/>
        </w:rPr>
      </w:pPr>
      <w:r>
        <w:rPr>
          <w:rFonts w:asciiTheme="majorHAnsi" w:hAnsiTheme="majorHAnsi"/>
        </w:rPr>
        <w:t xml:space="preserve">Në përputhje me konceptin e kostove të transaksionit në teorinë ekonomike, vlerësimet/përllogaritjet përfshijnë gjithashtu kostot fillestare të nevojshme për të mundësuar investimin e suksesshëm. Këtu përfshihen shpenzimet për zhvillimin strategjik, studimet teknike dhe financiare të fizibilitetit, ngritjen e kapaciteteve dhe trajnimin e stafit, përgatitjen e udhëzimeve, si dhe aktivitetet e tjera përgatitore që janë thelbësore për arritjen e rezultateve të synuara të çdo PM-je. Kostot faktike ndryshojnë në varësi të fushës së çdo veprimi, ekspertizës së përfshirë (kombëtare ose ndërkombëtare) dhe disponueshmërisë së burimeve ekzistuese, si </w:t>
      </w:r>
      <w:r>
        <w:rPr>
          <w:rFonts w:asciiTheme="majorHAnsi" w:hAnsiTheme="majorHAnsi"/>
        </w:rPr>
        <w:lastRenderedPageBreak/>
        <w:t>p.sh. udhëzimet e zhvilluara paraprakisht për prokurimin publik me në fokus efiçencën e energjisë.</w:t>
      </w:r>
    </w:p>
    <w:p w14:paraId="34C63FCC" w14:textId="77777777" w:rsidR="00B8253C" w:rsidRPr="00B8253C" w:rsidRDefault="00B8253C" w:rsidP="00B8253C">
      <w:pPr>
        <w:pStyle w:val="BodyText"/>
        <w:jc w:val="both"/>
        <w:rPr>
          <w:rFonts w:asciiTheme="majorHAnsi" w:hAnsiTheme="majorHAnsi" w:cstheme="majorHAnsi"/>
        </w:rPr>
      </w:pPr>
      <w:r>
        <w:rPr>
          <w:rFonts w:asciiTheme="majorHAnsi" w:hAnsiTheme="majorHAnsi"/>
        </w:rPr>
        <w:t>Nevojat e përllogaritura për investim lidhur me veprimet për zbutjen në PKEK kapin vlerën e afro 2,6 miliardë eurove sipas skenarit "me masa ekzistuese" (WEM), dhe një vlerë shtesë prej 6,9 miliardë euro sipas skenarit "me masa shtesë" (WAM).</w:t>
      </w:r>
    </w:p>
    <w:p w14:paraId="34C63FCD" w14:textId="77777777" w:rsidR="00B8253C" w:rsidRPr="00B8253C" w:rsidRDefault="00B8253C" w:rsidP="00B8253C">
      <w:pPr>
        <w:pStyle w:val="BodyText"/>
        <w:jc w:val="both"/>
        <w:rPr>
          <w:rFonts w:asciiTheme="majorHAnsi" w:hAnsiTheme="majorHAnsi" w:cstheme="majorHAnsi"/>
        </w:rPr>
      </w:pPr>
      <w:r>
        <w:rPr>
          <w:rFonts w:asciiTheme="majorHAnsi" w:hAnsiTheme="majorHAnsi"/>
        </w:rPr>
        <w:t>Në tabelën 4 më sipër është paraqitur një analizë e detajuar e buxhetit dhe nevojave për investim, sipas politikave dhe masave.</w:t>
      </w:r>
    </w:p>
    <w:p w14:paraId="34C63FCE" w14:textId="77777777" w:rsidR="00213150" w:rsidRPr="00213150" w:rsidRDefault="00213150" w:rsidP="001F0B31">
      <w:pPr>
        <w:pStyle w:val="BodyText"/>
        <w:jc w:val="both"/>
        <w:rPr>
          <w:rFonts w:asciiTheme="majorHAnsi" w:hAnsiTheme="majorHAnsi" w:cstheme="majorHAnsi"/>
        </w:rPr>
      </w:pPr>
    </w:p>
    <w:p w14:paraId="34C63FCF" w14:textId="77777777" w:rsidR="00213150" w:rsidRDefault="00213150" w:rsidP="000F3E74">
      <w:pPr>
        <w:pStyle w:val="BodyText"/>
        <w:jc w:val="both"/>
        <w:rPr>
          <w:rFonts w:asciiTheme="majorHAnsi" w:hAnsiTheme="majorHAnsi" w:cstheme="majorHAnsi"/>
        </w:rPr>
      </w:pPr>
    </w:p>
    <w:p w14:paraId="34C63FD0" w14:textId="77777777" w:rsidR="009639ED" w:rsidRDefault="009639ED" w:rsidP="00DD11E1">
      <w:pPr>
        <w:pStyle w:val="BodyText"/>
        <w:ind w:left="720"/>
        <w:jc w:val="both"/>
        <w:rPr>
          <w:rFonts w:asciiTheme="majorHAnsi" w:hAnsiTheme="majorHAnsi" w:cstheme="majorHAnsi"/>
        </w:rPr>
        <w:sectPr w:rsidR="009639ED" w:rsidSect="00213150">
          <w:pgSz w:w="12240" w:h="15840" w:code="9"/>
          <w:pgMar w:top="1440" w:right="1440" w:bottom="1440" w:left="1440" w:header="720" w:footer="720" w:gutter="0"/>
          <w:cols w:space="720"/>
          <w:docGrid w:linePitch="360"/>
        </w:sectPr>
      </w:pPr>
    </w:p>
    <w:p w14:paraId="34C63FD1" w14:textId="77777777" w:rsidR="009639ED" w:rsidRDefault="009639ED" w:rsidP="009639ED">
      <w:pPr>
        <w:pStyle w:val="Heading1"/>
        <w:rPr>
          <w:rFonts w:asciiTheme="majorHAnsi" w:hAnsiTheme="majorHAnsi" w:cstheme="majorHAnsi"/>
        </w:rPr>
      </w:pPr>
      <w:bookmarkStart w:id="36" w:name="_Toc216778862"/>
      <w:r>
        <w:rPr>
          <w:rFonts w:asciiTheme="majorHAnsi" w:hAnsiTheme="majorHAnsi"/>
        </w:rPr>
        <w:lastRenderedPageBreak/>
        <w:t>Përshtatja</w:t>
      </w:r>
      <w:bookmarkEnd w:id="36"/>
    </w:p>
    <w:p w14:paraId="43526013" w14:textId="7CE751B4" w:rsidR="00BB1C89" w:rsidRPr="00BB1C89" w:rsidRDefault="00DD7ED4" w:rsidP="00C51392">
      <w:pPr>
        <w:pStyle w:val="BodyText"/>
        <w:jc w:val="both"/>
        <w:rPr>
          <w:rFonts w:asciiTheme="majorHAnsi" w:hAnsiTheme="majorHAnsi" w:cstheme="majorHAnsi"/>
        </w:rPr>
      </w:pPr>
      <w:r>
        <w:rPr>
          <w:rFonts w:asciiTheme="majorHAnsi" w:hAnsiTheme="majorHAnsi"/>
        </w:rPr>
        <w:t xml:space="preserve">Ndryshimet e projektuara të temperaturës, reshjeve dhe rritjes së nivelit të detit (shihni seksionin 5.2 më poshtë) do të ndikojnë në çdo rajon të Shqipërisë dhe në çdo sektor socio-ekonomik në një mënyrë specifike, në varësi të karakteristikave individuale. </w:t>
      </w:r>
    </w:p>
    <w:p w14:paraId="7DA0B7D8" w14:textId="1EAEEB5B" w:rsidR="00892FC3" w:rsidRPr="00CC45FA" w:rsidRDefault="00BB1C89" w:rsidP="00C51392">
      <w:pPr>
        <w:pStyle w:val="BodyText"/>
        <w:jc w:val="both"/>
        <w:rPr>
          <w:rFonts w:asciiTheme="majorHAnsi" w:hAnsiTheme="majorHAnsi" w:cstheme="majorHAnsi"/>
        </w:rPr>
      </w:pPr>
      <w:r>
        <w:rPr>
          <w:rFonts w:asciiTheme="majorHAnsi" w:hAnsiTheme="majorHAnsi"/>
        </w:rPr>
        <w:t>Ky kapitull, i cili ka në fokus përshtatjen, është plotësisht i harmonizuar me draftin përfundimtar të Planit Kombëtar të Përshtatjes (PKP, korrik 2024) së Shqipërisë, dhe fokusohet në sektorët prioritarë: bujqësia, turizmi, energjia, transporti dhe zhvillimi urban. Këta sektorë janë thelbësorë për ekonominë e Shqipërisë, duke mbështetur jetesën, infrastrukturën dhe burimet natyrore. PKP-ja thekson cenueshmëritë në këto fusha, sidomos në zonën bregdetare, e cila përfshin një pjesë të konsiderueshme të popullsisë dhe të infrastrukturës kryesore, si dhe është një destinacion kryesor turistik. Me qëllim përmirësimin e planifikimit të përshtatjes, rekomandohet një bazë e centralizuar e të dhënave klimatike në nivel kombëtar, për t'u dhënë akses grupeve të interesit në të dhëna, projeksione dhe masa, si dhe për të orientuar ndërhyrjet e donatorëve. Gjithashtu, mungesa e të dhënave të ndara sipas gjinisë për ndikimet klimatike kërkon integrimin në mënyrë formale të perspektivës gjinore dhe përmirësimin e mbledhjes së të dhënave, në veçanti lidhur me cenueshmëritë e grave</w:t>
      </w:r>
    </w:p>
    <w:p w14:paraId="662A8843" w14:textId="79EF19E2" w:rsidR="00CC45FA" w:rsidRDefault="00387652" w:rsidP="00CC45FA">
      <w:pPr>
        <w:pStyle w:val="BodyText"/>
        <w:spacing w:after="0"/>
        <w:jc w:val="both"/>
        <w:rPr>
          <w:rFonts w:asciiTheme="majorHAnsi" w:hAnsiTheme="majorHAnsi" w:cstheme="majorHAnsi"/>
        </w:rPr>
      </w:pPr>
      <w:r>
        <w:rPr>
          <w:rFonts w:asciiTheme="majorHAnsi" w:hAnsiTheme="majorHAnsi"/>
        </w:rPr>
        <w:t>Duke u mbështetur në seksionin 3: "Për rrethanat kombëtare", ky seksion mbi përshtatjen është strukturuar si në vijim:</w:t>
      </w:r>
    </w:p>
    <w:p w14:paraId="05DEC199" w14:textId="6DEFC78F" w:rsidR="00CC45FA" w:rsidRDefault="00C33890" w:rsidP="00CC45FA">
      <w:pPr>
        <w:pStyle w:val="BodyText"/>
        <w:numPr>
          <w:ilvl w:val="0"/>
          <w:numId w:val="29"/>
        </w:numPr>
        <w:spacing w:after="0"/>
        <w:jc w:val="both"/>
        <w:rPr>
          <w:rFonts w:asciiTheme="majorHAnsi" w:hAnsiTheme="majorHAnsi" w:cstheme="majorHAnsi"/>
        </w:rPr>
      </w:pPr>
      <w:r>
        <w:rPr>
          <w:rFonts w:asciiTheme="majorHAnsi" w:hAnsiTheme="majorHAnsi"/>
        </w:rPr>
        <w:t xml:space="preserve">Seksioni 5.1 paraqet sektorët prioritarë. </w:t>
      </w:r>
    </w:p>
    <w:p w14:paraId="67DDAC88" w14:textId="5F178CF4" w:rsidR="00CC45FA" w:rsidRDefault="00C33890" w:rsidP="00CC45FA">
      <w:pPr>
        <w:pStyle w:val="BodyText"/>
        <w:numPr>
          <w:ilvl w:val="0"/>
          <w:numId w:val="29"/>
        </w:numPr>
        <w:spacing w:after="0"/>
        <w:jc w:val="both"/>
        <w:rPr>
          <w:rFonts w:asciiTheme="majorHAnsi" w:hAnsiTheme="majorHAnsi" w:cstheme="majorHAnsi"/>
        </w:rPr>
      </w:pPr>
      <w:r>
        <w:rPr>
          <w:rFonts w:asciiTheme="majorHAnsi" w:hAnsiTheme="majorHAnsi"/>
        </w:rPr>
        <w:t xml:space="preserve">Seksioni 5.2 paraqet ndryshueshmërinë e klimës dhe ndryshimet në Shqipëri në lidhje me temperaturën, reshjet dhe rritjen e nivelit të detit. </w:t>
      </w:r>
    </w:p>
    <w:p w14:paraId="651E11D9" w14:textId="54063311" w:rsidR="00CC45FA" w:rsidRDefault="00C33890" w:rsidP="00CC45FA">
      <w:pPr>
        <w:pStyle w:val="BodyText"/>
        <w:numPr>
          <w:ilvl w:val="0"/>
          <w:numId w:val="29"/>
        </w:numPr>
        <w:spacing w:after="0"/>
        <w:jc w:val="both"/>
        <w:rPr>
          <w:rFonts w:asciiTheme="majorHAnsi" w:hAnsiTheme="majorHAnsi" w:cstheme="majorHAnsi"/>
        </w:rPr>
      </w:pPr>
      <w:r>
        <w:rPr>
          <w:rFonts w:asciiTheme="majorHAnsi" w:hAnsiTheme="majorHAnsi"/>
        </w:rPr>
        <w:t xml:space="preserve">Sektori 5.3 analizon rreziqet, ndikimet dhe cenueshmërinë nga ndryshimet klimatike për pesë sektorët prioritarë. </w:t>
      </w:r>
      <w:r>
        <w:rPr>
          <w:rFonts w:asciiTheme="majorHAnsi" w:hAnsiTheme="majorHAnsi"/>
          <w:i/>
          <w:iCs/>
        </w:rPr>
        <w:t>Dhe së fundi,</w:t>
      </w:r>
      <w:r>
        <w:rPr>
          <w:rFonts w:asciiTheme="majorHAnsi" w:hAnsiTheme="majorHAnsi"/>
        </w:rPr>
        <w:t xml:space="preserve"> </w:t>
      </w:r>
    </w:p>
    <w:p w14:paraId="34C63FD3" w14:textId="5428CEC9" w:rsidR="00DD7ED4" w:rsidRPr="00CC45FA" w:rsidRDefault="00CC45FA" w:rsidP="00CC45FA">
      <w:pPr>
        <w:pStyle w:val="BodyText"/>
        <w:numPr>
          <w:ilvl w:val="0"/>
          <w:numId w:val="29"/>
        </w:numPr>
        <w:spacing w:after="0"/>
        <w:jc w:val="both"/>
        <w:rPr>
          <w:rFonts w:asciiTheme="majorHAnsi" w:hAnsiTheme="majorHAnsi" w:cstheme="majorHAnsi"/>
        </w:rPr>
      </w:pPr>
      <w:r>
        <w:rPr>
          <w:rFonts w:asciiTheme="majorHAnsi" w:hAnsiTheme="majorHAnsi"/>
        </w:rPr>
        <w:t>Seksioni 5.4 kategorizon dhe prioritizon masat e përshtatjes ndaj ndryshimeve klimatike.</w:t>
      </w:r>
    </w:p>
    <w:p w14:paraId="34C63FD4" w14:textId="77777777" w:rsidR="00DD7ED4" w:rsidRPr="00FC75AC" w:rsidRDefault="004A7844" w:rsidP="00DD7ED4">
      <w:pPr>
        <w:pStyle w:val="Heading2"/>
        <w:spacing w:before="120"/>
        <w:rPr>
          <w:rFonts w:asciiTheme="majorHAnsi" w:hAnsiTheme="majorHAnsi" w:cstheme="majorHAnsi"/>
        </w:rPr>
      </w:pPr>
      <w:bookmarkStart w:id="37" w:name="_Toc216778863"/>
      <w:r>
        <w:rPr>
          <w:rFonts w:asciiTheme="majorHAnsi" w:hAnsiTheme="majorHAnsi"/>
        </w:rPr>
        <w:t>5.1. Sektorët prioritarë - Konteksti</w:t>
      </w:r>
      <w:bookmarkEnd w:id="37"/>
    </w:p>
    <w:p w14:paraId="34C63FD5" w14:textId="77777777" w:rsidR="00DD7ED4" w:rsidRPr="00FC75AC" w:rsidRDefault="004A7844" w:rsidP="00DD7ED4">
      <w:pPr>
        <w:pStyle w:val="Heading2"/>
        <w:spacing w:before="120"/>
        <w:rPr>
          <w:rFonts w:asciiTheme="majorHAnsi" w:hAnsiTheme="majorHAnsi" w:cstheme="majorHAnsi"/>
        </w:rPr>
      </w:pPr>
      <w:bookmarkStart w:id="38" w:name="_Toc216778864"/>
      <w:r>
        <w:rPr>
          <w:rFonts w:asciiTheme="majorHAnsi" w:hAnsiTheme="majorHAnsi"/>
        </w:rPr>
        <w:t>5.1.1. Bujqësia</w:t>
      </w:r>
      <w:bookmarkEnd w:id="38"/>
    </w:p>
    <w:p w14:paraId="35B6C792" w14:textId="1C1F2B64" w:rsidR="002F2A23" w:rsidRDefault="00DD7ED4" w:rsidP="00DD7ED4">
      <w:pPr>
        <w:pStyle w:val="BodyText"/>
        <w:jc w:val="both"/>
        <w:rPr>
          <w:rFonts w:asciiTheme="majorHAnsi" w:hAnsiTheme="majorHAnsi" w:cstheme="majorHAnsi"/>
        </w:rPr>
      </w:pPr>
      <w:r>
        <w:rPr>
          <w:rFonts w:asciiTheme="majorHAnsi" w:hAnsiTheme="majorHAnsi"/>
        </w:rPr>
        <w:t xml:space="preserve">Bujqësia është një nga sektorët kryesorë socio-ekonomikë të ekonomisë shqiptare dhe një nga sektorët që konsiderohen më të cenueshëm ndaj ndryshimeve klimatike. Bujqësia vazhdon të luajë një rol qendror në ekonominë dhe shoqërinë shqiptare. Sipas Treguesve të Zhvillimit Botëror të Bankës Botërore, sektori kontribuoi me rreth 16,2% të PBB-së në vitin 2023, ndërsa në vitin 2024, kjo përqindje pësoi një rënie të lehtë në 15,5%. Njëkohësisht, Organizata Ndërkombëtare e Punës (ILO), raportoi, përmes ILOSTAT dhe të dhënave të shpërndara nga Treguesit e Bankës Botërore, se në vitin 2023, bujqësia kontribuoi në rreth 34,9% të totalit të punësimit. Këto shifra konfirmojnë se pesha e bujqësisë në punësim mbetet e lartë në mënyrë joproporcionale krahasuar me kontributin e saj në PBB, gjë që thekson rëndësinë e saj të vazhdueshme për jetesën rurale dhe sigurinë ushqimore, pavarësisht faktit se ekonomia e Shqipërisë po orientohet gjithnjë e më shumë drejt sektorit të shërbimeve. </w:t>
      </w:r>
    </w:p>
    <w:p w14:paraId="23DE5E7D" w14:textId="28033519" w:rsidR="00926C68" w:rsidRDefault="00DD7ED4" w:rsidP="002F2A23">
      <w:pPr>
        <w:pStyle w:val="BodyText"/>
        <w:jc w:val="both"/>
        <w:rPr>
          <w:rFonts w:asciiTheme="majorHAnsi" w:hAnsiTheme="majorHAnsi"/>
        </w:rPr>
      </w:pPr>
      <w:r>
        <w:rPr>
          <w:rFonts w:asciiTheme="majorHAnsi" w:hAnsiTheme="majorHAnsi"/>
        </w:rPr>
        <w:t xml:space="preserve">Temperaturat më të ngrohta kanë ndikuar tashmë negativisht në zonat fushore për shkak të rritjes së kërkesës për ujë dhe stresit nga nxehtësia te kulturat bujqësore, por kanë zgjatur periudhën e sezonit të kultivimit në zonat kodrinore dhe malore. Temperaturat më të larta gjatë periudhës së verës dhe reshjet më të ulëta kanë ndikuar tashmë në sistemet e kullotjes ku ka </w:t>
      </w:r>
      <w:r>
        <w:rPr>
          <w:rFonts w:asciiTheme="majorHAnsi" w:hAnsiTheme="majorHAnsi"/>
        </w:rPr>
        <w:lastRenderedPageBreak/>
        <w:t>mundësi të kufizuara lidhur me përshtatjen. Sektori ndahet në këto zona agro-ekologjike (ZAE): i) zonat fushore, ii) zonat e ndërmjetme kodrinore, iii) zonat malore veriore dhe qendrore, si dhe iv) malësia jugore. Nënsektorët përfshijnë: kulturat e përkohshme bujqësore, kulturat e përhershme bujqësore, gjedhët dhe kuajt, derrat dhe shpendët, si dhe delet dhe dhitë.   Këshillat e përshtatura sipas sektorit dhe perspektivat sezonale që vijnë nga përmirësimi i shërbimeve klimatike, të kombinuara me masat e hershme të bazuara në rrezik dhe projektet pilot të PbE-së në zonat e ujitura/bregdetare, mbështesin drejtpërdrejt prodhimin e qëndrueshëm ndaj ndryshimeve klimatikë dhe jetesën rurale.</w:t>
      </w:r>
    </w:p>
    <w:p w14:paraId="34C63FD6" w14:textId="06F960CC" w:rsidR="00DD7ED4" w:rsidRPr="005D7048" w:rsidRDefault="005D7048" w:rsidP="00DD7ED4">
      <w:pPr>
        <w:pStyle w:val="BodyText"/>
        <w:jc w:val="both"/>
        <w:rPr>
          <w:rFonts w:asciiTheme="majorHAnsi" w:hAnsiTheme="majorHAnsi" w:cstheme="majorHAnsi"/>
          <w:color w:val="FF0000"/>
        </w:rPr>
      </w:pPr>
      <w:bookmarkStart w:id="39" w:name="_Toc216778865"/>
      <w:r w:rsidRPr="005D7048">
        <w:rPr>
          <w:rStyle w:val="Heading2Char"/>
          <w:rFonts w:asciiTheme="majorHAnsi" w:hAnsiTheme="majorHAnsi" w:cstheme="majorHAnsi"/>
        </w:rPr>
        <w:t xml:space="preserve">5.1.2. </w:t>
      </w:r>
      <w:r w:rsidR="00926C68" w:rsidRPr="00D00535">
        <w:rPr>
          <w:rStyle w:val="Heading2Char"/>
          <w:rFonts w:asciiTheme="majorHAnsi" w:hAnsiTheme="majorHAnsi" w:cstheme="majorHAnsi"/>
        </w:rPr>
        <w:t>Pylltaria dhe Kullotat</w:t>
      </w:r>
      <w:bookmarkEnd w:id="39"/>
      <w:r w:rsidR="00926C68" w:rsidRPr="00D00535">
        <w:rPr>
          <w:rFonts w:asciiTheme="majorHAnsi" w:hAnsiTheme="majorHAnsi" w:cstheme="majorHAnsi"/>
          <w:color w:val="FF0000"/>
        </w:rPr>
        <w:t xml:space="preserve"> </w:t>
      </w:r>
      <w:r w:rsidR="00926C68" w:rsidRPr="005D7048">
        <w:rPr>
          <w:rFonts w:asciiTheme="majorHAnsi" w:hAnsiTheme="majorHAnsi" w:cstheme="majorHAnsi"/>
          <w:color w:val="FF0000"/>
        </w:rPr>
        <w:br/>
      </w:r>
      <w:r w:rsidR="00926C68" w:rsidRPr="00D00535">
        <w:rPr>
          <w:rFonts w:asciiTheme="majorHAnsi" w:hAnsiTheme="majorHAnsi"/>
        </w:rPr>
        <w:t xml:space="preserve">Pylltaria dhe kullotat mbulojnë afërsisht 1.9 milion hektarë (66% të territorit të Shqipërisë), nga të cilët 1.1 milion hektarë janë pyje dhe 0.8 milion hektarë janë kullota dhe livadhe. Sektori ofron shërbime kritike të ekosistemit (rregullimi i tokës dhe ujit, ruajtja e biodiversitetit, sekuestrimi i karbonit) dhe mbështet jetesën rurale përmes drurit, kullotjes dhe produkteve pyjore jo-drusore. </w:t>
      </w:r>
      <w:r w:rsidRPr="005D7048">
        <w:rPr>
          <w:rFonts w:asciiTheme="majorHAnsi" w:hAnsiTheme="majorHAnsi"/>
        </w:rPr>
        <w:t>Pylltaria dhe kullotat r</w:t>
      </w:r>
      <w:r w:rsidR="00926C68" w:rsidRPr="00D00535">
        <w:rPr>
          <w:rFonts w:asciiTheme="majorHAnsi" w:hAnsiTheme="majorHAnsi"/>
        </w:rPr>
        <w:t>regullohet nga Ligji për Pyjet dhe Kullotat (Nr. 5/2016) dhe Strategjia Kombëtare për Pyjet dhe Kullotat 2019–2030. Rreziqet kryesore klimatike përfshijnë zjarret në pyje, shpërthimet e dëmtuesve, kullotjen e tepërt, speciet pushtuese dhe rrëshqitjet e tokës të shkaktuara nga reshjet. Sektori ofron bashkë-përfitimet më të larta të zbutjes nga të gjithë sektorët e përshtatjes (&gt;300,000 tCO₂e/vit).</w:t>
      </w:r>
    </w:p>
    <w:p w14:paraId="34C63FD7" w14:textId="21A10612" w:rsidR="00DD7ED4" w:rsidRPr="00FC75AC" w:rsidRDefault="004A7844" w:rsidP="00DD7ED4">
      <w:pPr>
        <w:pStyle w:val="Heading2"/>
        <w:spacing w:before="120"/>
        <w:rPr>
          <w:rFonts w:asciiTheme="majorHAnsi" w:hAnsiTheme="majorHAnsi" w:cstheme="majorHAnsi"/>
        </w:rPr>
      </w:pPr>
      <w:bookmarkStart w:id="40" w:name="_Toc216778866"/>
      <w:r>
        <w:rPr>
          <w:rFonts w:asciiTheme="majorHAnsi" w:hAnsiTheme="majorHAnsi"/>
        </w:rPr>
        <w:t>5.1.</w:t>
      </w:r>
      <w:r w:rsidR="005D7048">
        <w:rPr>
          <w:rFonts w:asciiTheme="majorHAnsi" w:hAnsiTheme="majorHAnsi"/>
        </w:rPr>
        <w:t>3</w:t>
      </w:r>
      <w:r>
        <w:rPr>
          <w:rFonts w:asciiTheme="majorHAnsi" w:hAnsiTheme="majorHAnsi"/>
        </w:rPr>
        <w:t>. Turizmi</w:t>
      </w:r>
      <w:bookmarkEnd w:id="40"/>
    </w:p>
    <w:p w14:paraId="34C63FD8" w14:textId="36E66D04" w:rsidR="00DD7ED4" w:rsidRPr="00376025" w:rsidRDefault="00DD7ED4" w:rsidP="00DD7ED4">
      <w:pPr>
        <w:pStyle w:val="BodyText"/>
        <w:jc w:val="both"/>
        <w:rPr>
          <w:rFonts w:asciiTheme="majorHAnsi" w:hAnsiTheme="majorHAnsi" w:cstheme="majorHAnsi"/>
        </w:rPr>
      </w:pPr>
      <w:r>
        <w:rPr>
          <w:rFonts w:asciiTheme="majorHAnsi" w:hAnsiTheme="majorHAnsi"/>
        </w:rPr>
        <w:t>Sektori i turizmit mund të ndikohet pozitivisht dhe negativisht nga ndryshimet klimatike të projektuara. Për shkak të periudhave të ngrohta më të gjata, turizmi i "diellit dhe detit" që mbizotëron në zonën bregdetare mund të zgjatet përtej muajve të njohur të korrikut dhe gushtit. Megjithatë, bazuar në këto kushte dhe në kuadër të përgatitjes për një numër më të madh turistësh dhe një qëndrimi më të gjatë të turistëve, kostoja e ndërtimit të strukturave turistike do të rritet, ku përfshihet energjia elektrike për ngrohje dhe ftohje, mbrojtja ndaj motit ekstrem dhe ambientet rekreative. Faktorët që mund të ndikojnë në tërheqjen e turistëve ndaj bregdetit shqiptar për shkak të efekteve të ndryshimeve klimatike përfshijnë humbjen e zonave të plazhit për shkak të rritjes së nivelit të detit dhe erozionit, dëmtimin e trashëgimisë kulturore dhe shkatërrimin e biodiversitetit, si dhe të peizazheve natyrore detare dhe bregdetare. Nënsektorët përfshijnë diellin dhe detin, turizmin ekologjik, qytetet dhe artin, si dhe trashëgiminë kulturore. Paralajmërimet e hershme lidhur me të nxehtin, stuhitë dhe rreziqet bregdetare, si dhe zgjidhjet buferike të bazuara në natyrë dhe udhëzimet për mbrojtjen nga ndryshimet klimatike, të zhvilluara përmes një platforme kombëtare për informacionet rreth klimës, reduktojnë rreziqet operacionale për destinacionet dhe asetet.</w:t>
      </w:r>
    </w:p>
    <w:p w14:paraId="34C63FD9" w14:textId="3CA0E44C" w:rsidR="00DD7ED4" w:rsidRPr="00FC75AC" w:rsidRDefault="004A7844" w:rsidP="00DD7ED4">
      <w:pPr>
        <w:pStyle w:val="Heading2"/>
        <w:spacing w:before="120"/>
        <w:rPr>
          <w:rFonts w:asciiTheme="majorHAnsi" w:hAnsiTheme="majorHAnsi" w:cstheme="majorHAnsi"/>
        </w:rPr>
      </w:pPr>
      <w:bookmarkStart w:id="41" w:name="_Toc216778867"/>
      <w:r>
        <w:rPr>
          <w:rFonts w:asciiTheme="majorHAnsi" w:hAnsiTheme="majorHAnsi"/>
        </w:rPr>
        <w:t>5.1.</w:t>
      </w:r>
      <w:r w:rsidR="005D7048">
        <w:rPr>
          <w:rFonts w:asciiTheme="majorHAnsi" w:hAnsiTheme="majorHAnsi"/>
        </w:rPr>
        <w:t>4</w:t>
      </w:r>
      <w:r>
        <w:rPr>
          <w:rFonts w:asciiTheme="majorHAnsi" w:hAnsiTheme="majorHAnsi"/>
        </w:rPr>
        <w:t>. Energjia</w:t>
      </w:r>
      <w:bookmarkEnd w:id="41"/>
    </w:p>
    <w:p w14:paraId="6D26DFBF" w14:textId="77777777" w:rsidR="001634C7" w:rsidRPr="001634C7" w:rsidRDefault="001634C7" w:rsidP="001634C7">
      <w:pPr>
        <w:pStyle w:val="BodyText"/>
        <w:jc w:val="both"/>
        <w:rPr>
          <w:rFonts w:asciiTheme="majorHAnsi" w:hAnsiTheme="majorHAnsi" w:cstheme="majorHAnsi"/>
        </w:rPr>
      </w:pPr>
      <w:r>
        <w:rPr>
          <w:rFonts w:asciiTheme="majorHAnsi" w:hAnsiTheme="majorHAnsi"/>
        </w:rPr>
        <w:t>Rritja e kërkesës për ftohje, e nxitur nga rritja e PBB-së, e ka kaluar pikun e konsumit të energjisë te muajt e verës, një tendencë kjo që pritet të intensifikohet.</w:t>
      </w:r>
    </w:p>
    <w:p w14:paraId="23F8E144" w14:textId="1E18C265" w:rsidR="00357A67" w:rsidRPr="00FC75AC" w:rsidRDefault="000312D5" w:rsidP="00DD7ED4">
      <w:pPr>
        <w:pStyle w:val="BodyText"/>
        <w:jc w:val="both"/>
        <w:rPr>
          <w:rFonts w:asciiTheme="majorHAnsi" w:hAnsiTheme="majorHAnsi" w:cstheme="majorHAnsi"/>
        </w:rPr>
      </w:pPr>
      <w:r>
        <w:rPr>
          <w:rFonts w:asciiTheme="majorHAnsi" w:hAnsiTheme="majorHAnsi"/>
        </w:rPr>
        <w:t>Strategjia e Ndryshimeve Klimatike dhe Planet e saj të Veprimit 2020-2030 (2019)</w:t>
      </w:r>
      <w:r w:rsidR="00380E1B">
        <w:rPr>
          <w:rStyle w:val="FootnoteReference"/>
          <w:rFonts w:asciiTheme="majorHAnsi" w:hAnsiTheme="majorHAnsi" w:cstheme="majorHAnsi"/>
        </w:rPr>
        <w:footnoteReference w:id="12"/>
      </w:r>
      <w:r>
        <w:rPr>
          <w:rFonts w:asciiTheme="majorHAnsi" w:hAnsiTheme="majorHAnsi"/>
        </w:rPr>
        <w:t xml:space="preserve"> vlerësojnë se, brenda vitit 2050, prodhimi mesatar vjetor i energjisë elektrike nga hidrocentralet e mëdha në Shqipëri mund të reduktohet me rreth 15% dhe nga hidrocentralet e vogla me rreth 20%. </w:t>
      </w:r>
      <w:r>
        <w:lastRenderedPageBreak/>
        <w:t xml:space="preserve">Rritja e temperaturave do të ndikojë realisht disa nënsektorë të ndryshëm të energjisë për shkak të rritjes së nevojave për ftohje dhe faktorëve të tjerë që lidhen me klimën. </w:t>
      </w:r>
      <w:r>
        <w:rPr>
          <w:rFonts w:asciiTheme="majorHAnsi" w:hAnsiTheme="majorHAnsi"/>
        </w:rPr>
        <w:t>(Nënsektorët e energjisë përfshijnë naftën, gazin dhe qymyrin; energjinë hidrike; lëndët drusore si lëndë djegëse; energjinë eolike dhe diellore, si dhe transmetimin dhe shpërndarjen).</w:t>
      </w:r>
    </w:p>
    <w:p w14:paraId="34C63FDB" w14:textId="0BB80DE8" w:rsidR="00DD7ED4" w:rsidRPr="00FC75AC" w:rsidRDefault="004A7844" w:rsidP="00DD7ED4">
      <w:pPr>
        <w:pStyle w:val="Heading2"/>
        <w:spacing w:before="120"/>
        <w:rPr>
          <w:rFonts w:asciiTheme="majorHAnsi" w:hAnsiTheme="majorHAnsi" w:cstheme="majorHAnsi"/>
        </w:rPr>
      </w:pPr>
      <w:bookmarkStart w:id="42" w:name="_Toc216778868"/>
      <w:r>
        <w:rPr>
          <w:rFonts w:asciiTheme="majorHAnsi" w:hAnsiTheme="majorHAnsi"/>
        </w:rPr>
        <w:t>5.1.</w:t>
      </w:r>
      <w:r w:rsidR="005D7048">
        <w:rPr>
          <w:rFonts w:asciiTheme="majorHAnsi" w:hAnsiTheme="majorHAnsi"/>
        </w:rPr>
        <w:t>5</w:t>
      </w:r>
      <w:r>
        <w:rPr>
          <w:rFonts w:asciiTheme="majorHAnsi" w:hAnsiTheme="majorHAnsi"/>
        </w:rPr>
        <w:t>. Transporti</w:t>
      </w:r>
      <w:bookmarkEnd w:id="42"/>
    </w:p>
    <w:p w14:paraId="00324617" w14:textId="730C6D60" w:rsidR="00357A67" w:rsidRPr="00FC75AC" w:rsidRDefault="00DD7ED4" w:rsidP="00DD7ED4">
      <w:pPr>
        <w:pStyle w:val="BodyText"/>
        <w:jc w:val="both"/>
        <w:rPr>
          <w:rFonts w:asciiTheme="majorHAnsi" w:hAnsiTheme="majorHAnsi" w:cstheme="majorHAnsi"/>
        </w:rPr>
      </w:pPr>
      <w:r>
        <w:rPr>
          <w:rFonts w:asciiTheme="majorHAnsi" w:hAnsiTheme="majorHAnsi"/>
        </w:rPr>
        <w:t>Sektori i transportit, i përbërë nga transporti detar, ajror, hekurudhor dhe rrugor, është rritur me ritme të shpejta që nga viti 2000, sidomos për sa i përket numrit të mjeteve në rrugë dhe infrastrukturës së transportit. Sektori i transportit është shkarkuesi më i madh i gazeve me efekt serrë në Shqipëri. Ndryshimet klimatike ndikojnë te sektori i transportit në shumë mënyra, sidomos përmes motit ekstrem, si p.sh. shirat e rrëmbyeshëm, stuhitë dhe era ekstreme, stuhitë detare, përmbytjet ose valët e të nxehtit. Këto kanë ndikim në infrastrukturën e transportit, si dhe në besueshmërinë dhe sigurinë e transportit. Nënsektorët përfshijnë transportin rrugor, transportin hekurudhor, transportin detar dhe transportin ajror.</w:t>
      </w:r>
    </w:p>
    <w:p w14:paraId="34C63FDD" w14:textId="5271CE84" w:rsidR="00DD7ED4" w:rsidRPr="00FC75AC" w:rsidRDefault="004A7844" w:rsidP="00DD7ED4">
      <w:pPr>
        <w:pStyle w:val="Heading2"/>
        <w:spacing w:before="120"/>
        <w:rPr>
          <w:rFonts w:asciiTheme="majorHAnsi" w:hAnsiTheme="majorHAnsi" w:cstheme="majorHAnsi"/>
        </w:rPr>
      </w:pPr>
      <w:bookmarkStart w:id="43" w:name="_Toc216778869"/>
      <w:r>
        <w:rPr>
          <w:rFonts w:asciiTheme="majorHAnsi" w:hAnsiTheme="majorHAnsi"/>
        </w:rPr>
        <w:t>5.1.</w:t>
      </w:r>
      <w:r w:rsidR="005D7048">
        <w:rPr>
          <w:rFonts w:asciiTheme="majorHAnsi" w:hAnsiTheme="majorHAnsi"/>
        </w:rPr>
        <w:t>6</w:t>
      </w:r>
      <w:r>
        <w:rPr>
          <w:rFonts w:asciiTheme="majorHAnsi" w:hAnsiTheme="majorHAnsi"/>
        </w:rPr>
        <w:t>. Zhvillimi urban</w:t>
      </w:r>
      <w:bookmarkEnd w:id="43"/>
    </w:p>
    <w:p w14:paraId="3760F3F1" w14:textId="1F3D2595" w:rsidR="005D7048" w:rsidRPr="00DD11E1" w:rsidRDefault="00DD7ED4" w:rsidP="00DD7ED4">
      <w:pPr>
        <w:pStyle w:val="BodyText"/>
        <w:jc w:val="both"/>
        <w:rPr>
          <w:rFonts w:asciiTheme="majorHAnsi" w:hAnsiTheme="majorHAnsi"/>
        </w:rPr>
      </w:pPr>
      <w:r>
        <w:rPr>
          <w:rFonts w:asciiTheme="majorHAnsi" w:hAnsiTheme="majorHAnsi"/>
        </w:rPr>
        <w:t xml:space="preserve">Ndikimet e ndryshimeve klimatike në zonat urbane janë tejet të larta për shkak të përqendrimit të popullsisë dhe aseteve, sidomos në zonat me rrezik të lartë, dhe kushteve që përshkallëzojnë rreziqet (si p.sh., rritja e rrjedhjeve sipërfaqësore si rezultat i uljes së përshkueshmërisë së dheut, rritja e nivelit të detit dhe depërtimi i tij, efektet e ishujve të nxehtësisë urbane). Në Tiranë, infrastruktura e transportit, energjisë elektrike dhe furnizimit me ujë, si dhe industria e vogël, janë tejet të cenueshme nga reshjet e dendura dhe përmbytjet. Përqindja e popullsisë që banon në zonat urbane pritet të shkojë në 78,2% brenda vitit 2050. Plani i Përgjithshëm Kombëtar i Territorit (PPKT, 2016) përfaqëson një përpjekje të koordinuar për planifikimin e territorit dhe do të formësojë ndjeshëm trajektoren e ardhshme të zhvillimit urban të Shqipërisë. Ky plan gjithëpërfshirës propozon ndërhyrjet dhe modelet e mëposhtme për qendrat urbane: Konsolidimi dhe rigjenerimi (metropolet, qendrat kryesore urbane); Përforcimi dhe rigjenerimi (qendrat kryesore urbane terciare); Fuqizimi dhe rigjenerimi (qytetet hyrëse dhe qendrat lindore urbane); Bashkëpunimi (komunitetet). </w:t>
      </w:r>
      <w:r>
        <w:rPr>
          <w:rFonts w:asciiTheme="majorHAnsi" w:hAnsiTheme="majorHAnsi"/>
        </w:rPr>
        <w:br/>
        <w:t>Zonat klimatike përfshijnë zonën mesdhetare fushore (ZMF), zonën mesdhetare kodrinore (ZMK), zonën mesdhetare paramalore (ZMPM) dhe zonën mesdhetare malore (ZMM). Nënsektorët përfshijnë rrjetet rezidenciale, sociale, të prodhimit dhe të furnizimit.</w:t>
      </w:r>
    </w:p>
    <w:p w14:paraId="34C63FDF" w14:textId="77777777" w:rsidR="00DD7ED4" w:rsidRPr="00FC75AC" w:rsidRDefault="004A7844" w:rsidP="00DD7ED4">
      <w:pPr>
        <w:pStyle w:val="Heading2"/>
        <w:spacing w:before="120"/>
        <w:rPr>
          <w:rFonts w:asciiTheme="majorHAnsi" w:hAnsiTheme="majorHAnsi" w:cstheme="majorHAnsi"/>
        </w:rPr>
      </w:pPr>
      <w:bookmarkStart w:id="44" w:name="_Toc216778870"/>
      <w:r>
        <w:rPr>
          <w:rFonts w:asciiTheme="majorHAnsi" w:hAnsiTheme="majorHAnsi"/>
        </w:rPr>
        <w:t>5.2. Ndryshueshmëria e klimës dhe ndryshimet klimatike</w:t>
      </w:r>
      <w:bookmarkEnd w:id="44"/>
    </w:p>
    <w:p w14:paraId="07AD2271" w14:textId="77777777" w:rsidR="00FD1D6E" w:rsidRDefault="00DD7ED4" w:rsidP="00FD1D6E">
      <w:pPr>
        <w:pStyle w:val="BodyText"/>
        <w:spacing w:after="0"/>
        <w:jc w:val="both"/>
        <w:rPr>
          <w:rFonts w:asciiTheme="majorHAnsi" w:hAnsiTheme="majorHAnsi" w:cstheme="majorHAnsi"/>
        </w:rPr>
      </w:pPr>
      <w:r>
        <w:rPr>
          <w:rFonts w:asciiTheme="majorHAnsi" w:hAnsiTheme="majorHAnsi"/>
        </w:rPr>
        <w:t xml:space="preserve">Projeksionet e ndryshimeve klimatike të paraqitura në këtë dokument bazohen në një grup skenarësh të zhvilluar nga Paneli Ndërqeveritar për Ndryshimet Klimatike (PNNK) në kuadër të Raportit të Gjashtë të Vlerësimit (RV6, 2022), duke përdorur të dhëna nga faza e 6-të e Projektit të Ndërkrahasimit të Modeleve të Çiftuara të Klimës (PNMÇK6). Skenarët e përdorur janë trajektoret e përbashkëta socio-ekonomike (TPS): </w:t>
      </w:r>
    </w:p>
    <w:p w14:paraId="18C7CBFF" w14:textId="77777777" w:rsidR="00FD1D6E" w:rsidRDefault="00DD7ED4" w:rsidP="00FD1D6E">
      <w:pPr>
        <w:pStyle w:val="BodyText"/>
        <w:numPr>
          <w:ilvl w:val="0"/>
          <w:numId w:val="29"/>
        </w:numPr>
        <w:spacing w:after="0"/>
        <w:jc w:val="both"/>
        <w:rPr>
          <w:rFonts w:asciiTheme="majorHAnsi" w:hAnsiTheme="majorHAnsi" w:cstheme="majorHAnsi"/>
        </w:rPr>
      </w:pPr>
      <w:r>
        <w:rPr>
          <w:rFonts w:asciiTheme="majorHAnsi" w:hAnsiTheme="majorHAnsi"/>
        </w:rPr>
        <w:t>TPS1-1.9 (shkarkime të ulëta, zhvillim i qëndrueshëm)</w:t>
      </w:r>
    </w:p>
    <w:p w14:paraId="6B17E700" w14:textId="77777777" w:rsidR="00FD1D6E" w:rsidRDefault="00DD7ED4" w:rsidP="00FD1D6E">
      <w:pPr>
        <w:pStyle w:val="BodyText"/>
        <w:numPr>
          <w:ilvl w:val="0"/>
          <w:numId w:val="29"/>
        </w:numPr>
        <w:spacing w:after="0"/>
        <w:jc w:val="both"/>
        <w:rPr>
          <w:rFonts w:asciiTheme="majorHAnsi" w:hAnsiTheme="majorHAnsi" w:cstheme="majorHAnsi"/>
        </w:rPr>
      </w:pPr>
      <w:r>
        <w:rPr>
          <w:rFonts w:asciiTheme="majorHAnsi" w:hAnsiTheme="majorHAnsi"/>
        </w:rPr>
        <w:t xml:space="preserve">TPS2-4.5 (skenari mesatar), si dhe </w:t>
      </w:r>
    </w:p>
    <w:p w14:paraId="06B957BB" w14:textId="0FE61D18" w:rsidR="00F24FE6" w:rsidRPr="00E10655" w:rsidRDefault="00DD7ED4" w:rsidP="00E10655">
      <w:pPr>
        <w:pStyle w:val="BodyText"/>
        <w:numPr>
          <w:ilvl w:val="0"/>
          <w:numId w:val="29"/>
        </w:numPr>
        <w:spacing w:after="0"/>
        <w:jc w:val="both"/>
        <w:rPr>
          <w:rFonts w:asciiTheme="majorHAnsi" w:hAnsiTheme="majorHAnsi" w:cstheme="majorHAnsi"/>
        </w:rPr>
      </w:pPr>
      <w:r>
        <w:rPr>
          <w:rFonts w:asciiTheme="majorHAnsi" w:hAnsiTheme="majorHAnsi"/>
        </w:rPr>
        <w:t>TPS5-8.5 (shkarkime të larta, zhvillimi me lëndë djegëse fosile).</w:t>
      </w:r>
    </w:p>
    <w:p w14:paraId="34C63FE0" w14:textId="2C74E558" w:rsidR="00DD7ED4" w:rsidRPr="00EB03C6" w:rsidRDefault="00F24FE6" w:rsidP="00EB03C6">
      <w:pPr>
        <w:pStyle w:val="BodyText"/>
        <w:jc w:val="both"/>
        <w:rPr>
          <w:rFonts w:cs="Calibri"/>
        </w:rPr>
      </w:pPr>
      <w:r>
        <w:rPr>
          <w:rFonts w:asciiTheme="majorHAnsi" w:hAnsiTheme="majorHAnsi"/>
        </w:rPr>
        <w:t>Këta</w:t>
      </w:r>
      <w:r>
        <w:t xml:space="preserve"> skenarë përdoren gjerësisht sepse ata përfaqësojnë një gamë parashikimesh të besueshme, duke filluar nga ato optimiste, e deri tek ato mesatare e pesimiste, për t'u mundësuar kërkuesve dhe politikëbërësve që të vlerësojnë ndikimet e ndryshimeve klimatike, nevojat për përshtatje </w:t>
      </w:r>
      <w:r>
        <w:lastRenderedPageBreak/>
        <w:t xml:space="preserve">dhe strategjitë për zbutjen në nivele të ndryshme të ngrohjes globale. </w:t>
      </w:r>
      <w:r>
        <w:rPr>
          <w:rFonts w:asciiTheme="majorHAnsi" w:hAnsiTheme="majorHAnsi"/>
        </w:rPr>
        <w:t>Periudha referencë për projeksionet është 1986-2005.</w:t>
      </w:r>
    </w:p>
    <w:p w14:paraId="34C63FE1" w14:textId="6F259EB5" w:rsidR="00EA7365" w:rsidRDefault="00FD1D6E" w:rsidP="00FD1D6E">
      <w:pPr>
        <w:pStyle w:val="BodyText"/>
        <w:spacing w:after="0"/>
        <w:jc w:val="both"/>
        <w:rPr>
          <w:rFonts w:asciiTheme="majorHAnsi" w:hAnsiTheme="majorHAnsi" w:cstheme="majorHAnsi"/>
        </w:rPr>
      </w:pPr>
      <w:r>
        <w:rPr>
          <w:rFonts w:asciiTheme="majorHAnsi" w:hAnsiTheme="majorHAnsi"/>
        </w:rPr>
        <w:br/>
        <w:t xml:space="preserve">Një përshkrim i shkurtër i pesë trajektoreve të përbashkëta socio-ekonomike (TPS) jepet më poshtë: </w:t>
      </w:r>
    </w:p>
    <w:p w14:paraId="34C63FE2" w14:textId="4FDACC48" w:rsidR="00615995" w:rsidRDefault="00EA7365" w:rsidP="00FD1D6E">
      <w:pPr>
        <w:pStyle w:val="BodyText"/>
        <w:numPr>
          <w:ilvl w:val="0"/>
          <w:numId w:val="29"/>
        </w:numPr>
        <w:spacing w:after="0"/>
        <w:jc w:val="both"/>
        <w:rPr>
          <w:rFonts w:asciiTheme="majorHAnsi" w:hAnsiTheme="majorHAnsi" w:cstheme="majorHAnsi"/>
        </w:rPr>
      </w:pPr>
      <w:r>
        <w:rPr>
          <w:rFonts w:asciiTheme="majorHAnsi" w:hAnsiTheme="majorHAnsi"/>
          <w:u w:val="single"/>
        </w:rPr>
        <w:t>TPS1: Qëndrueshmëria:</w:t>
      </w:r>
      <w:r>
        <w:rPr>
          <w:rFonts w:asciiTheme="majorHAnsi" w:hAnsiTheme="majorHAnsi"/>
        </w:rPr>
        <w:t xml:space="preserve"> Burimet e përbashkëta globale po ruhen: kufijtë e sistemeve natyrore po respektohen dhe fokusi është te mirëqenia e njerëzve dhe jo vetëm te rritja ekonomike. Pabarazitë në të ardhura midis vendeve dhe brenda tyre po reduktohen. Modelet e konsumit po orientohen drejt minimizimit të përdorimit të burimeve materiale dhe energjisë. </w:t>
      </w:r>
    </w:p>
    <w:p w14:paraId="7DA8441E" w14:textId="6C05B5C7" w:rsidR="00FD1D6E" w:rsidRDefault="00EA7365" w:rsidP="00FD1D6E">
      <w:pPr>
        <w:pStyle w:val="BodyText"/>
        <w:numPr>
          <w:ilvl w:val="0"/>
          <w:numId w:val="29"/>
        </w:numPr>
        <w:spacing w:after="0"/>
        <w:jc w:val="both"/>
        <w:rPr>
          <w:rFonts w:asciiTheme="majorHAnsi" w:hAnsiTheme="majorHAnsi" w:cstheme="majorHAnsi"/>
        </w:rPr>
      </w:pPr>
      <w:r>
        <w:rPr>
          <w:rFonts w:asciiTheme="majorHAnsi" w:hAnsiTheme="majorHAnsi"/>
          <w:u w:val="single"/>
        </w:rPr>
        <w:t>TPS2: Skenari mesatar:</w:t>
      </w:r>
      <w:r>
        <w:rPr>
          <w:rFonts w:asciiTheme="majorHAnsi" w:hAnsiTheme="majorHAnsi"/>
        </w:rPr>
        <w:t xml:space="preserve"> Zhvillimi drejt së ardhmes: Trajektoret e të ardhurave mes vendeve po ndryshojnë ndjeshëm. Ndonëse ekziston një nivel i caktuar bashkëpunimi mes shteteve, fushëveprimi i tij mbetet i kufizuar. Rritja e popullsisë në nivel global është në nivele mesatare dhe do të vijë duke u stabilizuar në gjysmën e dytë të shekullit. Sistemet mjedisore po përjetojnë një shkallë degradimi. </w:t>
      </w:r>
    </w:p>
    <w:p w14:paraId="34C63FE4" w14:textId="3899C1B0" w:rsidR="00EA7365" w:rsidRDefault="00EA7365" w:rsidP="00FD1D6E">
      <w:pPr>
        <w:pStyle w:val="BodyText"/>
        <w:numPr>
          <w:ilvl w:val="0"/>
          <w:numId w:val="29"/>
        </w:numPr>
        <w:spacing w:after="0"/>
        <w:jc w:val="both"/>
        <w:rPr>
          <w:rFonts w:asciiTheme="majorHAnsi" w:hAnsiTheme="majorHAnsi" w:cstheme="majorHAnsi"/>
        </w:rPr>
      </w:pPr>
      <w:r>
        <w:rPr>
          <w:rFonts w:asciiTheme="majorHAnsi" w:hAnsiTheme="majorHAnsi"/>
          <w:u w:val="single"/>
        </w:rPr>
        <w:t>TPS5: Zhvillimi me lëndë djegëse fosile</w:t>
      </w:r>
      <w:r>
        <w:rPr>
          <w:rFonts w:asciiTheme="majorHAnsi" w:hAnsiTheme="majorHAnsi"/>
        </w:rPr>
        <w:t>: Tregjet globale po bëhen gjithnjë e më të integruara, duke nxitur novacionin dhe përparimet teknologjike. Megjithatë, zhvillimi social dhe ekonomik varen shumë nga shfrytëzimi i intensifikuar i burimeve të lëndëve djegëse fosile, ku qymyri përbën një përqindje të konsiderueshme, si dhe karakterizohet nga një stil jetese me konsum intensiv energjie që mbizotëron në mbarë globin. Ndërsa ekonomia botërore vazhdon të zgjerohet, problemet mjedisore në nivel vendor, si p.sh. ndotja e ajrit, po adresohen me efikasitet.</w:t>
      </w:r>
    </w:p>
    <w:p w14:paraId="05D9841B" w14:textId="77777777" w:rsidR="00FD1D6E" w:rsidRPr="00376025" w:rsidRDefault="00FD1D6E" w:rsidP="00FD1D6E">
      <w:pPr>
        <w:pStyle w:val="BodyText"/>
        <w:spacing w:after="0"/>
        <w:ind w:left="720"/>
        <w:jc w:val="both"/>
        <w:rPr>
          <w:rFonts w:asciiTheme="majorHAnsi" w:hAnsiTheme="majorHAnsi" w:cstheme="majorHAnsi"/>
        </w:rPr>
      </w:pPr>
    </w:p>
    <w:p w14:paraId="34C63FE5" w14:textId="77777777" w:rsidR="00DD7ED4" w:rsidRPr="00FC75AC" w:rsidRDefault="004A7844" w:rsidP="00DD7ED4">
      <w:pPr>
        <w:pStyle w:val="Heading2"/>
        <w:spacing w:before="120"/>
        <w:rPr>
          <w:rFonts w:asciiTheme="majorHAnsi" w:hAnsiTheme="majorHAnsi" w:cstheme="majorHAnsi"/>
        </w:rPr>
      </w:pPr>
      <w:bookmarkStart w:id="45" w:name="_Toc216778871"/>
      <w:r>
        <w:rPr>
          <w:rFonts w:asciiTheme="majorHAnsi" w:hAnsiTheme="majorHAnsi"/>
        </w:rPr>
        <w:t>5.2.1. Temperatura</w:t>
      </w:r>
      <w:bookmarkEnd w:id="45"/>
    </w:p>
    <w:p w14:paraId="34C63FE6" w14:textId="6638E43F" w:rsidR="00DD7ED4" w:rsidRPr="00FC75AC" w:rsidRDefault="00DD7ED4" w:rsidP="00DD7ED4">
      <w:pPr>
        <w:pStyle w:val="BodyText"/>
        <w:jc w:val="both"/>
        <w:rPr>
          <w:rFonts w:asciiTheme="majorHAnsi" w:hAnsiTheme="majorHAnsi" w:cstheme="majorHAnsi"/>
        </w:rPr>
      </w:pPr>
      <w:r>
        <w:rPr>
          <w:rFonts w:asciiTheme="majorHAnsi" w:hAnsiTheme="majorHAnsi"/>
        </w:rPr>
        <w:t>Të dhënat për temperaturën që prej vitit 1951 tregojnë se temperaturat mesatare vjetore të sipërfaqes në Shqipëri kanë qenë në pjesën më të madhe të shekullit ndërmjet 11°C dhe 12°C. Që nga viti 1998, mesatarja e rrumbullakosur ka qenë mbi 12°C dhe ka vazhduar qartësisht në rritje duke arritur mesatarisht në 12,72°C në vitin 2016 (Figura 6).</w:t>
      </w:r>
    </w:p>
    <w:p w14:paraId="34C63FE7" w14:textId="6329A119" w:rsidR="00DD7ED4" w:rsidRDefault="00DD7ED4" w:rsidP="00DD7ED4">
      <w:pPr>
        <w:pStyle w:val="BodyText"/>
        <w:jc w:val="both"/>
        <w:rPr>
          <w:rFonts w:asciiTheme="majorHAnsi" w:hAnsiTheme="majorHAnsi" w:cstheme="majorHAnsi"/>
        </w:rPr>
      </w:pPr>
      <w:r>
        <w:rPr>
          <w:rFonts w:asciiTheme="majorHAnsi" w:hAnsiTheme="majorHAnsi"/>
        </w:rPr>
        <w:t>Tendencat e projektuara tregojnë se temperatura mesatare vjetore në Shqipëri do të rritet nga 0,8°C deri në 1°C brenda vitit 2030 dhe nga 0,9°C deri në 2°C brenda vitit 2050 krahasuar me periudhën referencë 1986-2005. Rritjet më të konsiderueshme do të ndodhin midis periudhës qershor-shtator. Në bregdetin shqiptar parashikohet që temperaturat mesatare vjetore të rriten për të gjitha stinët. Në muajt e verës, temperaturat maksimale do të rriten nga 1,5°C deri në 6,4°C brenda vitit 2100. Në muajt e dimrit, temperaturat minimale mund të rriten nga 0,9°C deri në 3,8°C.</w:t>
      </w:r>
    </w:p>
    <w:p w14:paraId="66FDF048" w14:textId="76EDD5EC" w:rsidR="008C2534" w:rsidRDefault="00B14D18" w:rsidP="008C2534">
      <w:pPr>
        <w:pStyle w:val="BodyText"/>
        <w:keepNext/>
        <w:spacing w:after="0"/>
        <w:jc w:val="center"/>
      </w:pPr>
      <w:r>
        <w:rPr>
          <w:noProof/>
          <w:lang w:val="en-US"/>
        </w:rPr>
        <w:lastRenderedPageBreak/>
        <mc:AlternateContent>
          <mc:Choice Requires="wps">
            <w:drawing>
              <wp:anchor distT="45720" distB="45720" distL="114300" distR="114300" simplePos="0" relativeHeight="251695104" behindDoc="0" locked="0" layoutInCell="1" allowOverlap="1" wp14:anchorId="3E10107B" wp14:editId="0B40417B">
                <wp:simplePos x="0" y="0"/>
                <wp:positionH relativeFrom="margin">
                  <wp:posOffset>-75165</wp:posOffset>
                </wp:positionH>
                <wp:positionV relativeFrom="paragraph">
                  <wp:posOffset>994562</wp:posOffset>
                </wp:positionV>
                <wp:extent cx="1955704" cy="246491"/>
                <wp:effectExtent l="0" t="2857" r="4127" b="4128"/>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55704" cy="246491"/>
                        </a:xfrm>
                        <a:prstGeom prst="rect">
                          <a:avLst/>
                        </a:prstGeom>
                        <a:solidFill>
                          <a:schemeClr val="bg1"/>
                        </a:solidFill>
                        <a:ln w="9525">
                          <a:noFill/>
                          <a:miter lim="800000"/>
                          <a:headEnd/>
                          <a:tailEnd/>
                        </a:ln>
                      </wps:spPr>
                      <wps:txbx>
                        <w:txbxContent>
                          <w:p w14:paraId="477BADA1" w14:textId="7B2DA26F" w:rsidR="00376025" w:rsidRPr="00B14D18" w:rsidRDefault="00376025" w:rsidP="00B14D18">
                            <w:pPr>
                              <w:spacing w:before="0" w:after="40"/>
                              <w:rPr>
                                <w:rFonts w:ascii="Calibri" w:hAnsi="Calibri" w:cs="Calibri"/>
                                <w:sz w:val="14"/>
                              </w:rPr>
                            </w:pPr>
                            <w:r>
                              <w:rPr>
                                <w:rFonts w:ascii="Calibri" w:hAnsi="Calibri"/>
                                <w:sz w:val="14"/>
                              </w:rPr>
                              <w:t xml:space="preserve">Temperatura </w:t>
                            </w:r>
                            <w:r>
                              <w:rPr>
                                <w:rFonts w:ascii="Calibri" w:hAnsi="Calibri"/>
                                <w:sz w:val="14"/>
                              </w:rPr>
                              <w:t>mesatare në sipërfaqe (</w:t>
                            </w:r>
                            <w:r>
                              <w:rPr>
                                <w:rFonts w:ascii="Calibri" w:hAnsi="Calibri"/>
                                <w:sz w:val="14"/>
                                <w:vertAlign w:val="superscript"/>
                              </w:rPr>
                              <w:t>o</w:t>
                            </w:r>
                            <w:r>
                              <w:rPr>
                                <w:rFonts w:ascii="Calibri" w:hAnsi="Calibri"/>
                                <w:sz w:val="14"/>
                              </w:rPr>
                              <w:t xml:space="preserve">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0107B" id="Text Box 41" o:spid="_x0000_s1060" type="#_x0000_t202" style="position:absolute;left:0;text-align:left;margin-left:-5.9pt;margin-top:78.3pt;width:154pt;height:19.4pt;rotation:-90;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" fillcolor="white [3212]" stroked="f">
                <v:textbox>
                  <w:txbxContent>
                    <w:p w14:paraId="477BADA1" w14:textId="7B2DA26F" w:rsidR="00376025" w:rsidRPr="00B14D18" w:rsidRDefault="00376025" w:rsidP="00B14D18">
                      <w:pPr>
                        <w:spacing w:before="0" w:after="40"/>
                        <w:rPr>
                          <w:rFonts w:ascii="Calibri" w:hAnsi="Calibri" w:cs="Calibri"/>
                          <w:sz w:val="14"/>
                        </w:rPr>
                      </w:pPr>
                      <w:r>
                        <w:rPr>
                          <w:rFonts w:ascii="Calibri" w:hAnsi="Calibri"/>
                          <w:sz w:val="14"/>
                        </w:rPr>
                        <w:t xml:space="preserve">Temperatura </w:t>
                      </w:r>
                      <w:r>
                        <w:rPr>
                          <w:rFonts w:ascii="Calibri" w:hAnsi="Calibri"/>
                          <w:sz w:val="14"/>
                        </w:rPr>
                        <w:t>mesatare në sipërfaqe (</w:t>
                      </w:r>
                      <w:r>
                        <w:rPr>
                          <w:rFonts w:ascii="Calibri" w:hAnsi="Calibri"/>
                          <w:sz w:val="14"/>
                          <w:vertAlign w:val="superscript"/>
                        </w:rPr>
                        <w:t>o</w:t>
                      </w:r>
                      <w:r>
                        <w:rPr>
                          <w:rFonts w:ascii="Calibri" w:hAnsi="Calibri"/>
                          <w:sz w:val="14"/>
                        </w:rPr>
                        <w:t xml:space="preserve">C) </w:t>
                      </w:r>
                    </w:p>
                  </w:txbxContent>
                </v:textbox>
                <w10:wrap anchorx="margin"/>
              </v:shape>
            </w:pict>
          </mc:Fallback>
        </mc:AlternateContent>
      </w:r>
      <w:r>
        <w:rPr>
          <w:noProof/>
          <w:lang w:val="en-US"/>
        </w:rPr>
        <mc:AlternateContent>
          <mc:Choice Requires="wps">
            <w:drawing>
              <wp:anchor distT="45720" distB="45720" distL="114300" distR="114300" simplePos="0" relativeHeight="251694080" behindDoc="0" locked="0" layoutInCell="1" allowOverlap="1" wp14:anchorId="1D1C69CE" wp14:editId="70FF4FB9">
                <wp:simplePos x="0" y="0"/>
                <wp:positionH relativeFrom="margin">
                  <wp:posOffset>2917549</wp:posOffset>
                </wp:positionH>
                <wp:positionV relativeFrom="paragraph">
                  <wp:posOffset>2254996</wp:posOffset>
                </wp:positionV>
                <wp:extent cx="485029" cy="246491"/>
                <wp:effectExtent l="0" t="0" r="0" b="12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29" cy="246491"/>
                        </a:xfrm>
                        <a:prstGeom prst="rect">
                          <a:avLst/>
                        </a:prstGeom>
                        <a:solidFill>
                          <a:schemeClr val="bg1"/>
                        </a:solidFill>
                        <a:ln w="9525">
                          <a:noFill/>
                          <a:miter lim="800000"/>
                          <a:headEnd/>
                          <a:tailEnd/>
                        </a:ln>
                      </wps:spPr>
                      <wps:txbx>
                        <w:txbxContent>
                          <w:p w14:paraId="2EBB97FB" w14:textId="61B3684E" w:rsidR="00376025" w:rsidRPr="00B14D18" w:rsidRDefault="00376025" w:rsidP="00B14D18">
                            <w:pPr>
                              <w:spacing w:before="0" w:after="40"/>
                              <w:rPr>
                                <w:rFonts w:ascii="Calibri" w:hAnsi="Calibri" w:cs="Calibri"/>
                                <w:sz w:val="14"/>
                              </w:rPr>
                            </w:pPr>
                            <w:r>
                              <w:rPr>
                                <w:rFonts w:ascii="Calibri" w:hAnsi="Calibri"/>
                                <w:sz w:val="14"/>
                              </w:rPr>
                              <w:t>Viti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C69CE" id="Text Box 40" o:spid="_x0000_s1061" type="#_x0000_t202" style="position:absolute;left:0;text-align:left;margin-left:229.75pt;margin-top:177.55pt;width:38.2pt;height:19.4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" fillcolor="white [3212]" stroked="f">
                <v:textbox>
                  <w:txbxContent>
                    <w:p w14:paraId="2EBB97FB" w14:textId="61B3684E" w:rsidR="00376025" w:rsidRPr="00B14D18" w:rsidRDefault="00376025" w:rsidP="00B14D18">
                      <w:pPr>
                        <w:spacing w:before="0" w:after="40"/>
                        <w:rPr>
                          <w:rFonts w:ascii="Calibri" w:hAnsi="Calibri" w:cs="Calibri"/>
                          <w:sz w:val="14"/>
                        </w:rPr>
                      </w:pPr>
                      <w:r>
                        <w:rPr>
                          <w:rFonts w:ascii="Calibri" w:hAnsi="Calibri"/>
                          <w:sz w:val="14"/>
                        </w:rPr>
                        <w:t>Viti</w:t>
                      </w:r>
                    </w:p>
                  </w:txbxContent>
                </v:textbox>
                <w10:wrap anchorx="margin"/>
              </v:shape>
            </w:pict>
          </mc:Fallback>
        </mc:AlternateContent>
      </w:r>
      <w:r>
        <w:rPr>
          <w:noProof/>
          <w:lang w:val="en-US"/>
        </w:rPr>
        <mc:AlternateContent>
          <mc:Choice Requires="wps">
            <w:drawing>
              <wp:anchor distT="45720" distB="45720" distL="114300" distR="114300" simplePos="0" relativeHeight="251693056" behindDoc="0" locked="0" layoutInCell="1" allowOverlap="1" wp14:anchorId="403E5714" wp14:editId="00C30775">
                <wp:simplePos x="0" y="0"/>
                <wp:positionH relativeFrom="margin">
                  <wp:posOffset>1987826</wp:posOffset>
                </wp:positionH>
                <wp:positionV relativeFrom="paragraph">
                  <wp:posOffset>2470150</wp:posOffset>
                </wp:positionV>
                <wp:extent cx="1956021" cy="600572"/>
                <wp:effectExtent l="0" t="0" r="6350"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021" cy="600572"/>
                        </a:xfrm>
                        <a:prstGeom prst="rect">
                          <a:avLst/>
                        </a:prstGeom>
                        <a:solidFill>
                          <a:schemeClr val="bg1"/>
                        </a:solidFill>
                        <a:ln w="9525">
                          <a:noFill/>
                          <a:miter lim="800000"/>
                          <a:headEnd/>
                          <a:tailEnd/>
                        </a:ln>
                      </wps:spPr>
                      <wps:txbx>
                        <w:txbxContent>
                          <w:p w14:paraId="04DD9174" w14:textId="53C21424" w:rsidR="00376025" w:rsidRDefault="00376025" w:rsidP="00B14D18">
                            <w:pPr>
                              <w:spacing w:before="0" w:after="40"/>
                              <w:rPr>
                                <w:rFonts w:ascii="Calibri" w:hAnsi="Calibri" w:cs="Calibri"/>
                                <w:sz w:val="14"/>
                              </w:rPr>
                            </w:pPr>
                            <w:r>
                              <w:rPr>
                                <w:rFonts w:ascii="Calibri" w:hAnsi="Calibri"/>
                                <w:sz w:val="14"/>
                              </w:rPr>
                              <w:t xml:space="preserve">Temperatura </w:t>
                            </w:r>
                            <w:r>
                              <w:rPr>
                                <w:rFonts w:ascii="Calibri" w:hAnsi="Calibri"/>
                                <w:sz w:val="14"/>
                              </w:rPr>
                              <w:t>mesatare vjetore në sipërfaqe</w:t>
                            </w:r>
                          </w:p>
                          <w:p w14:paraId="578B9101" w14:textId="3A1ECFE6" w:rsidR="00376025" w:rsidRDefault="00376025" w:rsidP="00B14D18">
                            <w:pPr>
                              <w:spacing w:before="0" w:after="40"/>
                              <w:rPr>
                                <w:rFonts w:ascii="Calibri" w:hAnsi="Calibri" w:cs="Calibri"/>
                                <w:sz w:val="14"/>
                              </w:rPr>
                            </w:pPr>
                            <w:r>
                              <w:rPr>
                                <w:rFonts w:ascii="Calibri" w:hAnsi="Calibri"/>
                                <w:sz w:val="14"/>
                              </w:rPr>
                              <w:t>Tendenca 1951-2020</w:t>
                            </w:r>
                          </w:p>
                          <w:p w14:paraId="4B1A7854" w14:textId="4E4C785E" w:rsidR="00376025" w:rsidRDefault="00376025" w:rsidP="00B14D18">
                            <w:pPr>
                              <w:spacing w:before="0" w:after="40"/>
                              <w:rPr>
                                <w:rFonts w:ascii="Calibri" w:hAnsi="Calibri" w:cs="Calibri"/>
                                <w:sz w:val="14"/>
                              </w:rPr>
                            </w:pPr>
                            <w:r>
                              <w:rPr>
                                <w:rFonts w:ascii="Calibri" w:hAnsi="Calibri"/>
                                <w:sz w:val="14"/>
                              </w:rPr>
                              <w:t>Tendenca 1971-2020</w:t>
                            </w:r>
                          </w:p>
                          <w:p w14:paraId="66B27D32" w14:textId="356B9BB5" w:rsidR="00376025" w:rsidRPr="00B14D18" w:rsidRDefault="00376025" w:rsidP="00B14D18">
                            <w:pPr>
                              <w:spacing w:before="0" w:after="40"/>
                              <w:rPr>
                                <w:rFonts w:ascii="Calibri" w:hAnsi="Calibri" w:cs="Calibri"/>
                                <w:sz w:val="14"/>
                              </w:rPr>
                            </w:pPr>
                            <w:r>
                              <w:rPr>
                                <w:rFonts w:ascii="Calibri" w:hAnsi="Calibri"/>
                                <w:sz w:val="14"/>
                              </w:rPr>
                              <w:t>Tendenca 1991-2020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E5714" id="Text Box 39" o:spid="_x0000_s1062" type="#_x0000_t202" style="position:absolute;left:0;text-align:left;margin-left:156.5pt;margin-top:194.5pt;width:154pt;height:47.3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" fillcolor="white [3212]" stroked="f">
                <v:textbox>
                  <w:txbxContent>
                    <w:p w14:paraId="04DD9174" w14:textId="53C21424" w:rsidR="00376025" w:rsidRDefault="00376025" w:rsidP="00B14D18">
                      <w:pPr>
                        <w:spacing w:before="0" w:after="40"/>
                        <w:rPr>
                          <w:rFonts w:ascii="Calibri" w:hAnsi="Calibri" w:cs="Calibri"/>
                          <w:sz w:val="14"/>
                        </w:rPr>
                      </w:pPr>
                      <w:r>
                        <w:rPr>
                          <w:rFonts w:ascii="Calibri" w:hAnsi="Calibri"/>
                          <w:sz w:val="14"/>
                        </w:rPr>
                        <w:t xml:space="preserve">Temperatura </w:t>
                      </w:r>
                      <w:r>
                        <w:rPr>
                          <w:rFonts w:ascii="Calibri" w:hAnsi="Calibri"/>
                          <w:sz w:val="14"/>
                        </w:rPr>
                        <w:t>mesatare vjetore në sipërfaqe</w:t>
                      </w:r>
                    </w:p>
                    <w:p w14:paraId="578B9101" w14:textId="3A1ECFE6" w:rsidR="00376025" w:rsidRDefault="00376025" w:rsidP="00B14D18">
                      <w:pPr>
                        <w:spacing w:before="0" w:after="40"/>
                        <w:rPr>
                          <w:rFonts w:ascii="Calibri" w:hAnsi="Calibri" w:cs="Calibri"/>
                          <w:sz w:val="14"/>
                        </w:rPr>
                      </w:pPr>
                      <w:r>
                        <w:rPr>
                          <w:rFonts w:ascii="Calibri" w:hAnsi="Calibri"/>
                          <w:sz w:val="14"/>
                        </w:rPr>
                        <w:t>Tendenca 1951-2020</w:t>
                      </w:r>
                    </w:p>
                    <w:p w14:paraId="4B1A7854" w14:textId="4E4C785E" w:rsidR="00376025" w:rsidRDefault="00376025" w:rsidP="00B14D18">
                      <w:pPr>
                        <w:spacing w:before="0" w:after="40"/>
                        <w:rPr>
                          <w:rFonts w:ascii="Calibri" w:hAnsi="Calibri" w:cs="Calibri"/>
                          <w:sz w:val="14"/>
                        </w:rPr>
                      </w:pPr>
                      <w:r>
                        <w:rPr>
                          <w:rFonts w:ascii="Calibri" w:hAnsi="Calibri"/>
                          <w:sz w:val="14"/>
                        </w:rPr>
                        <w:t>Tendenca 1971-2020</w:t>
                      </w:r>
                    </w:p>
                    <w:p w14:paraId="66B27D32" w14:textId="356B9BB5" w:rsidR="00376025" w:rsidRPr="00B14D18" w:rsidRDefault="00376025" w:rsidP="00B14D18">
                      <w:pPr>
                        <w:spacing w:before="0" w:after="40"/>
                        <w:rPr>
                          <w:rFonts w:ascii="Calibri" w:hAnsi="Calibri" w:cs="Calibri"/>
                          <w:sz w:val="14"/>
                        </w:rPr>
                      </w:pPr>
                      <w:r>
                        <w:rPr>
                          <w:rFonts w:ascii="Calibri" w:hAnsi="Calibri"/>
                          <w:sz w:val="14"/>
                        </w:rPr>
                        <w:t>Tendenca 1991-2020</w:t>
                      </w:r>
                    </w:p>
                  </w:txbxContent>
                </v:textbox>
                <w10:wrap anchorx="margin"/>
              </v:shape>
            </w:pict>
          </mc:Fallback>
        </mc:AlternateContent>
      </w:r>
      <w:r>
        <w:rPr>
          <w:rFonts w:asciiTheme="majorHAnsi" w:hAnsiTheme="majorHAnsi"/>
          <w:noProof/>
          <w:lang w:val="en-US"/>
        </w:rPr>
        <w:drawing>
          <wp:inline distT="0" distB="0" distL="0" distR="0" wp14:anchorId="34C64263" wp14:editId="3E4D35C6">
            <wp:extent cx="4525006" cy="3057952"/>
            <wp:effectExtent l="19050" t="19050" r="9525" b="28575"/>
            <wp:docPr id="685380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80927" name=""/>
                    <pic:cNvPicPr/>
                  </pic:nvPicPr>
                  <pic:blipFill>
                    <a:blip r:embed="rId18"/>
                    <a:stretch>
                      <a:fillRect/>
                    </a:stretch>
                  </pic:blipFill>
                  <pic:spPr>
                    <a:xfrm>
                      <a:off x="0" y="0"/>
                      <a:ext cx="4525006" cy="3057952"/>
                    </a:xfrm>
                    <a:prstGeom prst="rect">
                      <a:avLst/>
                    </a:prstGeom>
                    <a:ln w="3175">
                      <a:solidFill>
                        <a:schemeClr val="tx1"/>
                      </a:solidFill>
                    </a:ln>
                  </pic:spPr>
                </pic:pic>
              </a:graphicData>
            </a:graphic>
          </wp:inline>
        </w:drawing>
      </w:r>
    </w:p>
    <w:p w14:paraId="6A000F5B" w14:textId="2445DD13" w:rsidR="00F24FE6" w:rsidRPr="00BF2D62" w:rsidRDefault="008C2534" w:rsidP="008C2534">
      <w:pPr>
        <w:pStyle w:val="Caption"/>
        <w:spacing w:before="0"/>
        <w:rPr>
          <w:b w:val="0"/>
          <w:bCs w:val="0"/>
        </w:rPr>
      </w:pPr>
      <w:bookmarkStart w:id="46" w:name="_Toc216778901"/>
      <w:r>
        <w:t xml:space="preserve">Figura </w:t>
      </w:r>
      <w:r w:rsidR="00D0533E">
        <w:fldChar w:fldCharType="begin"/>
      </w:r>
      <w:r w:rsidR="00D0533E">
        <w:instrText xml:space="preserve"> SEQ Figure \* ARABIC </w:instrText>
      </w:r>
      <w:r w:rsidR="00D0533E">
        <w:fldChar w:fldCharType="separate"/>
      </w:r>
      <w:r w:rsidR="00D0533E">
        <w:rPr>
          <w:noProof/>
        </w:rPr>
        <w:t>6</w:t>
      </w:r>
      <w:r w:rsidR="00D0533E">
        <w:rPr>
          <w:noProof/>
        </w:rPr>
        <w:fldChar w:fldCharType="end"/>
      </w:r>
      <w:r>
        <w:t>: Temperatura mesatare në sipërfaqe (°C), në Shqipëri (1950-2020)</w:t>
      </w:r>
      <w:r>
        <w:br/>
      </w:r>
      <w:r>
        <w:rPr>
          <w:b w:val="0"/>
          <w:bCs w:val="0"/>
        </w:rPr>
        <w:t>Burimi: Grupi i njohurive mbi ndryshimet klimatike, 2021.</w:t>
      </w:r>
      <w:bookmarkEnd w:id="46"/>
    </w:p>
    <w:p w14:paraId="4FE92AC8" w14:textId="6162754C" w:rsidR="00FD1D6E" w:rsidRDefault="00FD1D6E" w:rsidP="00DD7ED4">
      <w:pPr>
        <w:pStyle w:val="BodyText"/>
        <w:jc w:val="both"/>
        <w:rPr>
          <w:rFonts w:asciiTheme="majorHAnsi" w:hAnsiTheme="majorHAnsi" w:cstheme="majorHAnsi"/>
        </w:rPr>
      </w:pPr>
    </w:p>
    <w:p w14:paraId="0FA35A02" w14:textId="3760FFAB" w:rsidR="00013DEE" w:rsidRPr="00FC75AC" w:rsidRDefault="00DD7ED4" w:rsidP="00DD7ED4">
      <w:pPr>
        <w:pStyle w:val="BodyText"/>
        <w:jc w:val="both"/>
        <w:rPr>
          <w:rFonts w:asciiTheme="majorHAnsi" w:hAnsiTheme="majorHAnsi" w:cstheme="majorHAnsi"/>
        </w:rPr>
      </w:pPr>
      <w:r>
        <w:rPr>
          <w:rFonts w:asciiTheme="majorHAnsi" w:hAnsiTheme="majorHAnsi"/>
        </w:rPr>
        <w:t>Shpeshtësia e temperaturave ekstremisht të larta pritet të rritet, pasi projektohet gjithashtu një ulje e ndjeshme e periudhave të kthimit të temperaturave maksimale. Numri i netëve tropikale (&gt;20°C) gjithashtu projektohet të rritet. Për pasojë, numri dhe kohëzgjatja e valëve të të nxehtit pritet të rritet. Numri mesatar i valëve të të nxehtit për çdo vit projektohet të rritet me 3-4 herë brenda periudhës 2030-2050 në të gjithë skenarët.</w:t>
      </w:r>
    </w:p>
    <w:p w14:paraId="34C63FEA" w14:textId="77777777" w:rsidR="00DD7ED4" w:rsidRPr="00FC75AC" w:rsidRDefault="004A7844" w:rsidP="00DD7ED4">
      <w:pPr>
        <w:pStyle w:val="Heading2"/>
        <w:spacing w:before="120"/>
        <w:rPr>
          <w:rFonts w:asciiTheme="majorHAnsi" w:hAnsiTheme="majorHAnsi" w:cstheme="majorHAnsi"/>
        </w:rPr>
      </w:pPr>
      <w:bookmarkStart w:id="47" w:name="_Toc216778872"/>
      <w:r>
        <w:rPr>
          <w:rFonts w:asciiTheme="majorHAnsi" w:hAnsiTheme="majorHAnsi"/>
        </w:rPr>
        <w:t>5.2.2. Reshjet</w:t>
      </w:r>
      <w:bookmarkEnd w:id="47"/>
    </w:p>
    <w:p w14:paraId="6FC86F48" w14:textId="53CAE08D" w:rsidR="00DD11E1" w:rsidRDefault="00DD7ED4" w:rsidP="00DD7ED4">
      <w:pPr>
        <w:pStyle w:val="BodyText"/>
        <w:jc w:val="both"/>
        <w:rPr>
          <w:rFonts w:asciiTheme="majorHAnsi" w:hAnsiTheme="majorHAnsi"/>
        </w:rPr>
      </w:pPr>
      <w:r>
        <w:rPr>
          <w:rFonts w:asciiTheme="majorHAnsi" w:hAnsiTheme="majorHAnsi"/>
        </w:rPr>
        <w:t>Nivelet mesatare të reshjeve kanë mbetur relativisht të qëndrueshme që nga 1901, edhe pse me një tendencë të lehtë në rënie. Reshjet në Shqipëri priten të ulen nga 2,4% deri në 5,8% brenda vitit 2050 krahasuar me periudhën referencë 1986-2005.</w:t>
      </w:r>
    </w:p>
    <w:p w14:paraId="35A08BF9" w14:textId="77777777" w:rsidR="007651B1" w:rsidRDefault="007651B1" w:rsidP="00DD7ED4">
      <w:pPr>
        <w:pStyle w:val="BodyText"/>
        <w:jc w:val="both"/>
        <w:rPr>
          <w:rFonts w:asciiTheme="majorHAnsi" w:hAnsiTheme="majorHAnsi"/>
        </w:rPr>
      </w:pPr>
    </w:p>
    <w:p w14:paraId="4508BC7B" w14:textId="77777777" w:rsidR="007651B1" w:rsidRDefault="007651B1" w:rsidP="00DD7ED4">
      <w:pPr>
        <w:pStyle w:val="BodyText"/>
        <w:jc w:val="both"/>
        <w:rPr>
          <w:rFonts w:asciiTheme="majorHAnsi" w:hAnsiTheme="majorHAnsi"/>
        </w:rPr>
      </w:pPr>
    </w:p>
    <w:p w14:paraId="03C77683" w14:textId="77777777" w:rsidR="007651B1" w:rsidRDefault="007651B1" w:rsidP="00DD7ED4">
      <w:pPr>
        <w:pStyle w:val="BodyText"/>
        <w:jc w:val="both"/>
        <w:rPr>
          <w:rFonts w:asciiTheme="majorHAnsi" w:hAnsiTheme="majorHAnsi"/>
        </w:rPr>
      </w:pPr>
    </w:p>
    <w:p w14:paraId="06A45F29" w14:textId="77777777" w:rsidR="007651B1" w:rsidRDefault="007651B1" w:rsidP="00DD7ED4">
      <w:pPr>
        <w:pStyle w:val="BodyText"/>
        <w:jc w:val="both"/>
        <w:rPr>
          <w:rFonts w:asciiTheme="majorHAnsi" w:hAnsiTheme="majorHAnsi"/>
        </w:rPr>
      </w:pPr>
    </w:p>
    <w:p w14:paraId="30B64BDB" w14:textId="77777777" w:rsidR="007651B1" w:rsidRDefault="007651B1" w:rsidP="00DD7ED4">
      <w:pPr>
        <w:pStyle w:val="BodyText"/>
        <w:jc w:val="both"/>
        <w:rPr>
          <w:rFonts w:asciiTheme="majorHAnsi" w:hAnsiTheme="majorHAnsi"/>
        </w:rPr>
      </w:pPr>
    </w:p>
    <w:p w14:paraId="093F37A1" w14:textId="77777777" w:rsidR="007651B1" w:rsidRDefault="007651B1" w:rsidP="00DD7ED4">
      <w:pPr>
        <w:pStyle w:val="BodyText"/>
        <w:jc w:val="both"/>
        <w:rPr>
          <w:rFonts w:asciiTheme="majorHAnsi" w:hAnsiTheme="majorHAnsi"/>
        </w:rPr>
      </w:pPr>
    </w:p>
    <w:p w14:paraId="680A556A" w14:textId="77777777" w:rsidR="007651B1" w:rsidRDefault="007651B1" w:rsidP="00DD7ED4">
      <w:pPr>
        <w:pStyle w:val="BodyText"/>
        <w:jc w:val="both"/>
        <w:rPr>
          <w:rFonts w:asciiTheme="majorHAnsi" w:hAnsiTheme="majorHAnsi"/>
        </w:rPr>
      </w:pPr>
    </w:p>
    <w:p w14:paraId="787D80E4" w14:textId="77777777" w:rsidR="007651B1" w:rsidRDefault="007651B1" w:rsidP="00DD7ED4">
      <w:pPr>
        <w:pStyle w:val="BodyText"/>
        <w:jc w:val="both"/>
        <w:rPr>
          <w:rFonts w:asciiTheme="majorHAnsi" w:hAnsiTheme="majorHAnsi"/>
        </w:rPr>
      </w:pPr>
    </w:p>
    <w:p w14:paraId="3DCA2196" w14:textId="77777777" w:rsidR="007651B1" w:rsidRPr="007651B1" w:rsidRDefault="007651B1" w:rsidP="00DD7ED4">
      <w:pPr>
        <w:pStyle w:val="BodyText"/>
        <w:jc w:val="both"/>
        <w:rPr>
          <w:rFonts w:asciiTheme="majorHAnsi" w:hAnsiTheme="majorHAnsi"/>
        </w:rPr>
      </w:pPr>
    </w:p>
    <w:p w14:paraId="7A06301B" w14:textId="6FB52E25" w:rsidR="00013DEE" w:rsidRDefault="00852E36" w:rsidP="00013DEE">
      <w:pPr>
        <w:pStyle w:val="BodyText"/>
        <w:keepNext/>
        <w:jc w:val="center"/>
      </w:pPr>
      <w:r>
        <w:rPr>
          <w:rFonts w:asciiTheme="majorHAnsi" w:hAnsiTheme="majorHAnsi"/>
          <w:noProof/>
          <w:sz w:val="20"/>
          <w:szCs w:val="20"/>
          <w:lang w:val="en-US"/>
        </w:rPr>
        <w:lastRenderedPageBreak/>
        <mc:AlternateContent>
          <mc:Choice Requires="wps">
            <w:drawing>
              <wp:anchor distT="45720" distB="45720" distL="114300" distR="114300" simplePos="0" relativeHeight="251697152" behindDoc="0" locked="0" layoutInCell="1" allowOverlap="1" wp14:anchorId="392D6F65" wp14:editId="0B818293">
                <wp:simplePos x="0" y="0"/>
                <wp:positionH relativeFrom="margin">
                  <wp:posOffset>1605516</wp:posOffset>
                </wp:positionH>
                <wp:positionV relativeFrom="paragraph">
                  <wp:posOffset>2307265</wp:posOffset>
                </wp:positionV>
                <wp:extent cx="874395" cy="414670"/>
                <wp:effectExtent l="0" t="0" r="1905" b="444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414670"/>
                        </a:xfrm>
                        <a:prstGeom prst="rect">
                          <a:avLst/>
                        </a:prstGeom>
                        <a:solidFill>
                          <a:schemeClr val="bg1"/>
                        </a:solidFill>
                        <a:ln w="9525">
                          <a:noFill/>
                          <a:miter lim="800000"/>
                          <a:headEnd/>
                          <a:tailEnd/>
                        </a:ln>
                      </wps:spPr>
                      <wps:txbx>
                        <w:txbxContent>
                          <w:p w14:paraId="18201DB6" w14:textId="7E0C3E0C" w:rsidR="00376025" w:rsidRDefault="00376025" w:rsidP="00B14D18">
                            <w:pPr>
                              <w:spacing w:before="0"/>
                              <w:rPr>
                                <w:rFonts w:ascii="Calibri" w:hAnsi="Calibri" w:cs="Calibri"/>
                                <w:sz w:val="14"/>
                              </w:rPr>
                            </w:pPr>
                            <w:r>
                              <w:rPr>
                                <w:rFonts w:ascii="Calibri" w:hAnsi="Calibri"/>
                                <w:sz w:val="14"/>
                              </w:rPr>
                              <w:t>Reshjet vjetore</w:t>
                            </w:r>
                          </w:p>
                          <w:p w14:paraId="36B53B56" w14:textId="6C0CB6CE" w:rsidR="00376025" w:rsidRPr="00B14D18" w:rsidRDefault="00376025" w:rsidP="00B14D18">
                            <w:pPr>
                              <w:spacing w:before="0"/>
                              <w:rPr>
                                <w:rFonts w:ascii="Calibri" w:hAnsi="Calibri" w:cs="Calibri"/>
                                <w:sz w:val="14"/>
                              </w:rPr>
                            </w:pPr>
                            <w:r>
                              <w:rPr>
                                <w:rFonts w:ascii="Calibri" w:hAnsi="Calibri"/>
                                <w:sz w:val="14"/>
                              </w:rPr>
                              <w:t>Tendenca 1991-2020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D6F65" id="Text Box 42" o:spid="_x0000_s1063" type="#_x0000_t202" style="position:absolute;left:0;text-align:left;margin-left:126.4pt;margin-top:181.65pt;width:68.85pt;height:32.6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" fillcolor="white [3212]" stroked="f">
                <v:textbox>
                  <w:txbxContent>
                    <w:p w14:paraId="18201DB6" w14:textId="7E0C3E0C" w:rsidR="00376025" w:rsidRDefault="00376025" w:rsidP="00B14D18">
                      <w:pPr>
                        <w:spacing w:before="0"/>
                        <w:rPr>
                          <w:rFonts w:ascii="Calibri" w:hAnsi="Calibri" w:cs="Calibri"/>
                          <w:sz w:val="14"/>
                        </w:rPr>
                      </w:pPr>
                      <w:r>
                        <w:rPr>
                          <w:rFonts w:ascii="Calibri" w:hAnsi="Calibri"/>
                          <w:sz w:val="14"/>
                        </w:rPr>
                        <w:t>Reshjet vjetore</w:t>
                      </w:r>
                    </w:p>
                    <w:p w14:paraId="36B53B56" w14:textId="6C0CB6CE" w:rsidR="00376025" w:rsidRPr="00B14D18" w:rsidRDefault="00376025" w:rsidP="00B14D18">
                      <w:pPr>
                        <w:spacing w:before="0"/>
                        <w:rPr>
                          <w:rFonts w:ascii="Calibri" w:hAnsi="Calibri" w:cs="Calibri"/>
                          <w:sz w:val="14"/>
                        </w:rPr>
                      </w:pPr>
                      <w:r>
                        <w:rPr>
                          <w:rFonts w:ascii="Calibri" w:hAnsi="Calibri"/>
                          <w:sz w:val="14"/>
                        </w:rPr>
                        <w:t>Tendenca 1991-2020</w:t>
                      </w:r>
                    </w:p>
                  </w:txbxContent>
                </v:textbox>
                <w10:wrap anchorx="margin"/>
              </v:shape>
            </w:pict>
          </mc:Fallback>
        </mc:AlternateContent>
      </w:r>
      <w:r w:rsidR="0071225E">
        <w:rPr>
          <w:rFonts w:asciiTheme="majorHAnsi" w:hAnsiTheme="majorHAnsi"/>
          <w:noProof/>
          <w:sz w:val="20"/>
          <w:szCs w:val="20"/>
          <w:lang w:val="en-US"/>
        </w:rPr>
        <mc:AlternateContent>
          <mc:Choice Requires="wps">
            <w:drawing>
              <wp:anchor distT="45720" distB="45720" distL="114300" distR="114300" simplePos="0" relativeHeight="251700224" behindDoc="0" locked="0" layoutInCell="1" allowOverlap="1" wp14:anchorId="4CED5CB4" wp14:editId="79B744CD">
                <wp:simplePos x="0" y="0"/>
                <wp:positionH relativeFrom="margin">
                  <wp:posOffset>773181</wp:posOffset>
                </wp:positionH>
                <wp:positionV relativeFrom="paragraph">
                  <wp:posOffset>874285</wp:posOffset>
                </wp:positionV>
                <wp:extent cx="901988" cy="246380"/>
                <wp:effectExtent l="381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01988" cy="246380"/>
                        </a:xfrm>
                        <a:prstGeom prst="rect">
                          <a:avLst/>
                        </a:prstGeom>
                        <a:solidFill>
                          <a:schemeClr val="bg1"/>
                        </a:solidFill>
                        <a:ln w="9525">
                          <a:noFill/>
                          <a:miter lim="800000"/>
                          <a:headEnd/>
                          <a:tailEnd/>
                        </a:ln>
                      </wps:spPr>
                      <wps:txbx>
                        <w:txbxContent>
                          <w:p w14:paraId="610C3ADA" w14:textId="5FD7903B" w:rsidR="00376025" w:rsidRPr="00B14D18" w:rsidRDefault="00376025" w:rsidP="00B14D18">
                            <w:pPr>
                              <w:spacing w:before="0" w:after="40"/>
                              <w:rPr>
                                <w:rFonts w:ascii="Calibri" w:hAnsi="Calibri" w:cs="Calibri"/>
                                <w:sz w:val="14"/>
                              </w:rPr>
                            </w:pPr>
                            <w:r>
                              <w:rPr>
                                <w:rFonts w:ascii="Calibri" w:hAnsi="Calibri"/>
                                <w:sz w:val="14"/>
                              </w:rPr>
                              <w:t>Reshjet (mm)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D5CB4" id="Text Box 44" o:spid="_x0000_s1064" type="#_x0000_t202" style="position:absolute;left:0;text-align:left;margin-left:60.9pt;margin-top:68.85pt;width:71pt;height:19.4pt;rotation:-90;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" fillcolor="white [3212]" stroked="f">
                <v:textbox>
                  <w:txbxContent>
                    <w:p w14:paraId="610C3ADA" w14:textId="5FD7903B" w:rsidR="00376025" w:rsidRPr="00B14D18" w:rsidRDefault="00376025" w:rsidP="00B14D18">
                      <w:pPr>
                        <w:spacing w:before="0" w:after="40"/>
                        <w:rPr>
                          <w:rFonts w:ascii="Calibri" w:hAnsi="Calibri" w:cs="Calibri"/>
                          <w:sz w:val="14"/>
                        </w:rPr>
                      </w:pPr>
                      <w:r>
                        <w:rPr>
                          <w:rFonts w:ascii="Calibri" w:hAnsi="Calibri"/>
                          <w:sz w:val="14"/>
                        </w:rPr>
                        <w:t>Reshjet (mm)</w:t>
                      </w:r>
                    </w:p>
                  </w:txbxContent>
                </v:textbox>
                <w10:wrap anchorx="margin"/>
              </v:shape>
            </w:pict>
          </mc:Fallback>
        </mc:AlternateContent>
      </w:r>
      <w:r w:rsidR="0071225E">
        <w:rPr>
          <w:rFonts w:asciiTheme="majorHAnsi" w:hAnsiTheme="majorHAnsi"/>
          <w:noProof/>
          <w:sz w:val="20"/>
          <w:szCs w:val="20"/>
          <w:lang w:val="en-US"/>
        </w:rPr>
        <mc:AlternateContent>
          <mc:Choice Requires="wps">
            <w:drawing>
              <wp:anchor distT="45720" distB="45720" distL="114300" distR="114300" simplePos="0" relativeHeight="251704320" behindDoc="0" locked="0" layoutInCell="1" allowOverlap="1" wp14:anchorId="129A6F9E" wp14:editId="6BC0023E">
                <wp:simplePos x="0" y="0"/>
                <wp:positionH relativeFrom="margin">
                  <wp:posOffset>3634961</wp:posOffset>
                </wp:positionH>
                <wp:positionV relativeFrom="paragraph">
                  <wp:posOffset>2305741</wp:posOffset>
                </wp:positionV>
                <wp:extent cx="874644" cy="349857"/>
                <wp:effectExtent l="0" t="0" r="190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644" cy="349857"/>
                        </a:xfrm>
                        <a:prstGeom prst="rect">
                          <a:avLst/>
                        </a:prstGeom>
                        <a:solidFill>
                          <a:schemeClr val="bg1"/>
                        </a:solidFill>
                        <a:ln w="9525">
                          <a:noFill/>
                          <a:miter lim="800000"/>
                          <a:headEnd/>
                          <a:tailEnd/>
                        </a:ln>
                      </wps:spPr>
                      <wps:txbx>
                        <w:txbxContent>
                          <w:p w14:paraId="1AC3CCCE" w14:textId="39A64C7E" w:rsidR="00376025" w:rsidRPr="00B14D18" w:rsidRDefault="00376025" w:rsidP="0071225E">
                            <w:pPr>
                              <w:spacing w:before="0"/>
                              <w:rPr>
                                <w:rFonts w:ascii="Calibri" w:hAnsi="Calibri" w:cs="Calibri"/>
                                <w:sz w:val="14"/>
                              </w:rPr>
                            </w:pPr>
                            <w:r>
                              <w:rPr>
                                <w:rFonts w:ascii="Calibri" w:hAnsi="Calibri"/>
                                <w:sz w:val="14"/>
                              </w:rPr>
                              <w:t xml:space="preserve">Tendenca </w:t>
                            </w:r>
                            <w:r>
                              <w:rPr>
                                <w:rFonts w:ascii="Calibri" w:hAnsi="Calibri"/>
                                <w:sz w:val="14"/>
                              </w:rPr>
                              <w:t>1971-2020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A6F9E" id="Text Box 46" o:spid="_x0000_s1065" type="#_x0000_t202" style="position:absolute;left:0;text-align:left;margin-left:286.2pt;margin-top:181.55pt;width:68.85pt;height:27.5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" fillcolor="white [3212]" stroked="f">
                <v:textbox>
                  <w:txbxContent>
                    <w:p w14:paraId="1AC3CCCE" w14:textId="39A64C7E" w:rsidR="00376025" w:rsidRPr="00B14D18" w:rsidRDefault="00376025" w:rsidP="0071225E">
                      <w:pPr>
                        <w:spacing w:before="0"/>
                        <w:rPr>
                          <w:rFonts w:ascii="Calibri" w:hAnsi="Calibri" w:cs="Calibri"/>
                          <w:sz w:val="14"/>
                        </w:rPr>
                      </w:pPr>
                      <w:r>
                        <w:rPr>
                          <w:rFonts w:ascii="Calibri" w:hAnsi="Calibri"/>
                          <w:sz w:val="14"/>
                        </w:rPr>
                        <w:t xml:space="preserve">Tendenca </w:t>
                      </w:r>
                      <w:r>
                        <w:rPr>
                          <w:rFonts w:ascii="Calibri" w:hAnsi="Calibri"/>
                          <w:sz w:val="14"/>
                        </w:rPr>
                        <w:t>1971-2020</w:t>
                      </w:r>
                    </w:p>
                  </w:txbxContent>
                </v:textbox>
                <w10:wrap anchorx="margin"/>
              </v:shape>
            </w:pict>
          </mc:Fallback>
        </mc:AlternateContent>
      </w:r>
      <w:r w:rsidR="0071225E">
        <w:rPr>
          <w:rFonts w:asciiTheme="majorHAnsi" w:hAnsiTheme="majorHAnsi"/>
          <w:noProof/>
          <w:sz w:val="20"/>
          <w:szCs w:val="20"/>
          <w:lang w:val="en-US"/>
        </w:rPr>
        <mc:AlternateContent>
          <mc:Choice Requires="wps">
            <w:drawing>
              <wp:anchor distT="45720" distB="45720" distL="114300" distR="114300" simplePos="0" relativeHeight="251702272" behindDoc="0" locked="0" layoutInCell="1" allowOverlap="1" wp14:anchorId="5AF5BFF3" wp14:editId="4CA0EA24">
                <wp:simplePos x="0" y="0"/>
                <wp:positionH relativeFrom="margin">
                  <wp:posOffset>2623930</wp:posOffset>
                </wp:positionH>
                <wp:positionV relativeFrom="paragraph">
                  <wp:posOffset>2306955</wp:posOffset>
                </wp:positionV>
                <wp:extent cx="874644" cy="349857"/>
                <wp:effectExtent l="0" t="0" r="190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644" cy="349857"/>
                        </a:xfrm>
                        <a:prstGeom prst="rect">
                          <a:avLst/>
                        </a:prstGeom>
                        <a:solidFill>
                          <a:schemeClr val="bg1"/>
                        </a:solidFill>
                        <a:ln w="9525">
                          <a:noFill/>
                          <a:miter lim="800000"/>
                          <a:headEnd/>
                          <a:tailEnd/>
                        </a:ln>
                      </wps:spPr>
                      <wps:txbx>
                        <w:txbxContent>
                          <w:p w14:paraId="49994158" w14:textId="0BC1D833" w:rsidR="00376025" w:rsidRPr="00B14D18" w:rsidRDefault="00376025" w:rsidP="0071225E">
                            <w:pPr>
                              <w:spacing w:before="0"/>
                              <w:rPr>
                                <w:rFonts w:ascii="Calibri" w:hAnsi="Calibri" w:cs="Calibri"/>
                                <w:sz w:val="14"/>
                              </w:rPr>
                            </w:pPr>
                            <w:r>
                              <w:rPr>
                                <w:rFonts w:ascii="Calibri" w:hAnsi="Calibri"/>
                                <w:sz w:val="14"/>
                              </w:rPr>
                              <w:t xml:space="preserve">Tendenca </w:t>
                            </w:r>
                            <w:r>
                              <w:rPr>
                                <w:rFonts w:ascii="Calibri" w:hAnsi="Calibri"/>
                                <w:sz w:val="14"/>
                              </w:rPr>
                              <w:t>1951-2020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5BFF3" id="Text Box 45" o:spid="_x0000_s1066" type="#_x0000_t202" style="position:absolute;left:0;text-align:left;margin-left:206.6pt;margin-top:181.65pt;width:68.85pt;height:27.5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" fillcolor="white [3212]" stroked="f">
                <v:textbox>
                  <w:txbxContent>
                    <w:p w14:paraId="49994158" w14:textId="0BC1D833" w:rsidR="00376025" w:rsidRPr="00B14D18" w:rsidRDefault="00376025" w:rsidP="0071225E">
                      <w:pPr>
                        <w:spacing w:before="0"/>
                        <w:rPr>
                          <w:rFonts w:ascii="Calibri" w:hAnsi="Calibri" w:cs="Calibri"/>
                          <w:sz w:val="14"/>
                        </w:rPr>
                      </w:pPr>
                      <w:r>
                        <w:rPr>
                          <w:rFonts w:ascii="Calibri" w:hAnsi="Calibri"/>
                          <w:sz w:val="14"/>
                        </w:rPr>
                        <w:t xml:space="preserve">Tendenca </w:t>
                      </w:r>
                      <w:r>
                        <w:rPr>
                          <w:rFonts w:ascii="Calibri" w:hAnsi="Calibri"/>
                          <w:sz w:val="14"/>
                        </w:rPr>
                        <w:t>1951-2020</w:t>
                      </w:r>
                    </w:p>
                  </w:txbxContent>
                </v:textbox>
                <w10:wrap anchorx="margin"/>
              </v:shape>
            </w:pict>
          </mc:Fallback>
        </mc:AlternateContent>
      </w:r>
      <w:r w:rsidR="0071225E">
        <w:rPr>
          <w:rFonts w:asciiTheme="majorHAnsi" w:hAnsiTheme="majorHAnsi"/>
          <w:noProof/>
          <w:sz w:val="20"/>
          <w:szCs w:val="20"/>
          <w:lang w:val="en-US"/>
        </w:rPr>
        <mc:AlternateContent>
          <mc:Choice Requires="wps">
            <w:drawing>
              <wp:anchor distT="45720" distB="45720" distL="114300" distR="114300" simplePos="0" relativeHeight="251698176" behindDoc="0" locked="0" layoutInCell="1" allowOverlap="1" wp14:anchorId="5C83C3E1" wp14:editId="45E4E881">
                <wp:simplePos x="0" y="0"/>
                <wp:positionH relativeFrom="margin">
                  <wp:posOffset>2973788</wp:posOffset>
                </wp:positionH>
                <wp:positionV relativeFrom="paragraph">
                  <wp:posOffset>2105798</wp:posOffset>
                </wp:positionV>
                <wp:extent cx="485029" cy="190831"/>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29" cy="190831"/>
                        </a:xfrm>
                        <a:prstGeom prst="rect">
                          <a:avLst/>
                        </a:prstGeom>
                        <a:solidFill>
                          <a:schemeClr val="bg1"/>
                        </a:solidFill>
                        <a:ln w="9525">
                          <a:noFill/>
                          <a:miter lim="800000"/>
                          <a:headEnd/>
                          <a:tailEnd/>
                        </a:ln>
                      </wps:spPr>
                      <wps:txbx>
                        <w:txbxContent>
                          <w:p w14:paraId="3407B2D2" w14:textId="77777777" w:rsidR="00376025" w:rsidRPr="00B14D18" w:rsidRDefault="00376025" w:rsidP="00B14D18">
                            <w:pPr>
                              <w:spacing w:before="0" w:after="40"/>
                              <w:rPr>
                                <w:rFonts w:ascii="Calibri" w:hAnsi="Calibri" w:cs="Calibri"/>
                                <w:sz w:val="14"/>
                              </w:rPr>
                            </w:pPr>
                            <w:r>
                              <w:rPr>
                                <w:rFonts w:ascii="Calibri" w:hAnsi="Calibri"/>
                                <w:sz w:val="14"/>
                              </w:rPr>
                              <w:t>Viti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3C3E1" id="Text Box 43" o:spid="_x0000_s1067" type="#_x0000_t202" style="position:absolute;left:0;text-align:left;margin-left:234.15pt;margin-top:165.8pt;width:38.2pt;height:15.0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" fillcolor="white [3212]" stroked="f">
                <v:textbox>
                  <w:txbxContent>
                    <w:p w14:paraId="3407B2D2" w14:textId="77777777" w:rsidR="00376025" w:rsidRPr="00B14D18" w:rsidRDefault="00376025" w:rsidP="00B14D18">
                      <w:pPr>
                        <w:spacing w:before="0" w:after="40"/>
                        <w:rPr>
                          <w:rFonts w:ascii="Calibri" w:hAnsi="Calibri" w:cs="Calibri"/>
                          <w:sz w:val="14"/>
                        </w:rPr>
                      </w:pPr>
                      <w:r>
                        <w:rPr>
                          <w:rFonts w:ascii="Calibri" w:hAnsi="Calibri"/>
                          <w:sz w:val="14"/>
                        </w:rPr>
                        <w:t>Viti</w:t>
                      </w:r>
                    </w:p>
                  </w:txbxContent>
                </v:textbox>
                <w10:wrap anchorx="margin"/>
              </v:shape>
            </w:pict>
          </mc:Fallback>
        </mc:AlternateContent>
      </w:r>
    </w:p>
    <w:p w14:paraId="40C6677D" w14:textId="77777777" w:rsidR="00DD11E1" w:rsidRDefault="00DD11E1" w:rsidP="00013DEE">
      <w:pPr>
        <w:pStyle w:val="Caption"/>
      </w:pPr>
    </w:p>
    <w:p w14:paraId="52184499" w14:textId="77777777" w:rsidR="00DD11E1" w:rsidRDefault="00DD11E1" w:rsidP="00013DEE">
      <w:pPr>
        <w:pStyle w:val="Caption"/>
      </w:pPr>
    </w:p>
    <w:p w14:paraId="61C53175" w14:textId="1365EC99" w:rsidR="00DD11E1" w:rsidRDefault="00DD11E1" w:rsidP="00013DEE">
      <w:pPr>
        <w:pStyle w:val="Caption"/>
      </w:pPr>
    </w:p>
    <w:p w14:paraId="61484246" w14:textId="14B83762" w:rsidR="00DD11E1" w:rsidRDefault="00DD11E1" w:rsidP="00013DEE">
      <w:pPr>
        <w:pStyle w:val="Caption"/>
      </w:pPr>
      <w:r>
        <w:rPr>
          <w:noProof/>
          <w:lang w:val="en-US"/>
        </w:rPr>
        <w:drawing>
          <wp:anchor distT="0" distB="0" distL="114300" distR="114300" simplePos="0" relativeHeight="251706368" behindDoc="0" locked="0" layoutInCell="1" allowOverlap="1" wp14:anchorId="34C64265" wp14:editId="7A315A7A">
            <wp:simplePos x="0" y="0"/>
            <wp:positionH relativeFrom="margin">
              <wp:align>center</wp:align>
            </wp:positionH>
            <wp:positionV relativeFrom="paragraph">
              <wp:posOffset>-900430</wp:posOffset>
            </wp:positionV>
            <wp:extent cx="4314825" cy="2714625"/>
            <wp:effectExtent l="19050" t="19050" r="28575" b="28575"/>
            <wp:wrapSquare wrapText="bothSides"/>
            <wp:docPr id="1639743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43996" name=""/>
                    <pic:cNvPicPr/>
                  </pic:nvPicPr>
                  <pic:blipFill>
                    <a:blip r:embed="rId19"/>
                    <a:stretch>
                      <a:fillRect/>
                    </a:stretch>
                  </pic:blipFill>
                  <pic:spPr>
                    <a:xfrm>
                      <a:off x="0" y="0"/>
                      <a:ext cx="4314825" cy="2714625"/>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p>
    <w:p w14:paraId="662A651C" w14:textId="11F9A6D6" w:rsidR="00DD11E1" w:rsidRDefault="00DD11E1" w:rsidP="00013DEE">
      <w:pPr>
        <w:pStyle w:val="Caption"/>
      </w:pPr>
    </w:p>
    <w:p w14:paraId="5A508630" w14:textId="7BAE3251" w:rsidR="00DD11E1" w:rsidRDefault="00DD11E1" w:rsidP="00013DEE">
      <w:pPr>
        <w:pStyle w:val="Caption"/>
      </w:pPr>
    </w:p>
    <w:p w14:paraId="41D522B5" w14:textId="4635557B" w:rsidR="00DD11E1" w:rsidRDefault="00DD11E1" w:rsidP="00013DEE">
      <w:pPr>
        <w:pStyle w:val="Caption"/>
      </w:pPr>
    </w:p>
    <w:p w14:paraId="4D701E27" w14:textId="77777777" w:rsidR="00DD11E1" w:rsidRDefault="00DD11E1" w:rsidP="00013DEE">
      <w:pPr>
        <w:pStyle w:val="Caption"/>
      </w:pPr>
    </w:p>
    <w:p w14:paraId="2D294E1F" w14:textId="57D9D8F5" w:rsidR="00DD11E1" w:rsidRDefault="00DD11E1" w:rsidP="00013DEE">
      <w:pPr>
        <w:pStyle w:val="Caption"/>
      </w:pPr>
    </w:p>
    <w:p w14:paraId="05E2B414" w14:textId="77777777" w:rsidR="00DD11E1" w:rsidRDefault="00DD11E1" w:rsidP="00013DEE">
      <w:pPr>
        <w:pStyle w:val="Caption"/>
      </w:pPr>
    </w:p>
    <w:p w14:paraId="05B5AD2D" w14:textId="51A3A00F" w:rsidR="00DD11E1" w:rsidRDefault="00DD11E1" w:rsidP="00E47138">
      <w:pPr>
        <w:pStyle w:val="Caption"/>
        <w:jc w:val="both"/>
      </w:pPr>
    </w:p>
    <w:p w14:paraId="5F55FFFD" w14:textId="77777777" w:rsidR="00E47138" w:rsidRPr="00E47138" w:rsidRDefault="00E47138" w:rsidP="00E47138"/>
    <w:p w14:paraId="34C63FED" w14:textId="3962286D" w:rsidR="001949BB" w:rsidRPr="00FC75AC" w:rsidRDefault="00013DEE" w:rsidP="00013DEE">
      <w:pPr>
        <w:pStyle w:val="Caption"/>
        <w:rPr>
          <w:rFonts w:cstheme="majorHAnsi"/>
        </w:rPr>
      </w:pPr>
      <w:bookmarkStart w:id="48" w:name="_Toc216778902"/>
      <w:r>
        <w:t xml:space="preserve">Figura </w:t>
      </w:r>
      <w:r w:rsidR="00D0533E">
        <w:fldChar w:fldCharType="begin"/>
      </w:r>
      <w:r w:rsidR="00D0533E">
        <w:instrText xml:space="preserve"> SEQ Figure \* ARABIC </w:instrText>
      </w:r>
      <w:r w:rsidR="00D0533E">
        <w:fldChar w:fldCharType="separate"/>
      </w:r>
      <w:r w:rsidR="00D0533E">
        <w:rPr>
          <w:noProof/>
        </w:rPr>
        <w:t>7</w:t>
      </w:r>
      <w:r w:rsidR="00D0533E">
        <w:rPr>
          <w:noProof/>
        </w:rPr>
        <w:fldChar w:fldCharType="end"/>
      </w:r>
      <w:r>
        <w:t>: Reshjet mesatare (mm) në Shqipëri (1950-2020)</w:t>
      </w:r>
      <w:bookmarkEnd w:id="48"/>
    </w:p>
    <w:p w14:paraId="290DBEA2" w14:textId="1B5BFAE9" w:rsidR="00511125" w:rsidRPr="00BF2D62" w:rsidRDefault="00F24FE6" w:rsidP="00511125">
      <w:pPr>
        <w:pStyle w:val="BodyText"/>
        <w:spacing w:after="0"/>
        <w:jc w:val="center"/>
        <w:rPr>
          <w:rFonts w:asciiTheme="majorHAnsi" w:hAnsiTheme="majorHAnsi"/>
          <w:sz w:val="20"/>
          <w:szCs w:val="20"/>
        </w:rPr>
      </w:pPr>
      <w:r>
        <w:rPr>
          <w:rFonts w:asciiTheme="majorHAnsi" w:hAnsiTheme="majorHAnsi"/>
          <w:sz w:val="20"/>
          <w:szCs w:val="20"/>
        </w:rPr>
        <w:t>Burimi: Grupi i njohurive mbi ndryshimet klimatike, 2021</w:t>
      </w:r>
    </w:p>
    <w:p w14:paraId="575DD6EA" w14:textId="05116835" w:rsidR="00511125" w:rsidRPr="00376025" w:rsidRDefault="00511125" w:rsidP="00DD7ED4">
      <w:pPr>
        <w:pStyle w:val="BodyText"/>
        <w:jc w:val="both"/>
        <w:rPr>
          <w:rFonts w:asciiTheme="majorHAnsi" w:hAnsiTheme="majorHAnsi" w:cstheme="majorHAnsi"/>
          <w:lang w:val="it-IT"/>
        </w:rPr>
      </w:pPr>
    </w:p>
    <w:p w14:paraId="34C63FEE" w14:textId="6571D1D5" w:rsidR="00DD7ED4" w:rsidRPr="00FC75AC" w:rsidRDefault="00DD7ED4" w:rsidP="00DD7ED4">
      <w:pPr>
        <w:pStyle w:val="BodyText"/>
        <w:jc w:val="both"/>
        <w:rPr>
          <w:rFonts w:asciiTheme="majorHAnsi" w:hAnsiTheme="majorHAnsi" w:cstheme="majorHAnsi"/>
        </w:rPr>
      </w:pPr>
      <w:r>
        <w:rPr>
          <w:rFonts w:asciiTheme="majorHAnsi" w:hAnsiTheme="majorHAnsi"/>
        </w:rPr>
        <w:t>Reshjet vjetore në bregdetin shqiptar pritet të ulen nga 1,6 deri në 2,9% brenda vitit 2050 dhe nga 1,6% deri në 7,1% brenda vitit 2100. Parashikohet se reshjet do të pësojnë rënien më të lartë gjatë muajve të verës (8,7% deri në 38,1% brenda vitit 2100). Megjithatë, parashikohet se reshjet do të rriten gjatë muajve të dimrit, nga 1,8% deri në 3,2% brenda vitit 2050 dhe nga 1,8% deri në 7,8% brenda vitit 2100. Duke pasur parasysh temperaturat më të ngrohta, kjo rritje e nivelit të reshjeve nënkupton se ato do të jenë në formën e shirave dhe jo të dëborës, çka do të shkaktojë rritje të prurjeve të lumenjve gjatë dimrit dhe ulje të prurjeve gjatë pranverës, verës dhe vjeshtës.</w:t>
      </w:r>
    </w:p>
    <w:p w14:paraId="34C63FEF" w14:textId="77777777" w:rsidR="00DD7ED4" w:rsidRPr="00FC75AC" w:rsidRDefault="00DD7ED4" w:rsidP="00DD7ED4">
      <w:pPr>
        <w:pStyle w:val="BodyText"/>
        <w:jc w:val="both"/>
        <w:rPr>
          <w:rFonts w:asciiTheme="majorHAnsi" w:hAnsiTheme="majorHAnsi" w:cstheme="majorHAnsi"/>
        </w:rPr>
      </w:pPr>
      <w:r>
        <w:rPr>
          <w:rFonts w:asciiTheme="majorHAnsi" w:hAnsiTheme="majorHAnsi"/>
        </w:rPr>
        <w:t>Ndryshueshmëria e reshjeve pritet të rritet në zonën bregdetare të Shqipërisë, si dhe parashikohet të rritet shpeshtësia dhe intensiteti i ngjarjeve me reshje të dendura shiu. Periudhat e kthimit për ditët me reshje &gt;100 mm projektohen të ulen me 15,9-16,7 vite brenda vitit 2050. Gjatë muajve të verës, rritja e rasteve me reshje të dendura shiu kombinuar me rënien e nivelit mesatar të reshjeve tregon se shpeshtësia e thatësirave pritet të rritet. Pritet një reduktim i madh i reshjeve në nivelin e percentilit 5%.</w:t>
      </w:r>
    </w:p>
    <w:p w14:paraId="34C63FF0" w14:textId="77777777" w:rsidR="00DD7ED4" w:rsidRPr="00FC75AC" w:rsidRDefault="004A7844" w:rsidP="00DD7ED4">
      <w:pPr>
        <w:pStyle w:val="Heading2"/>
        <w:spacing w:before="120"/>
        <w:rPr>
          <w:rFonts w:asciiTheme="majorHAnsi" w:hAnsiTheme="majorHAnsi" w:cstheme="majorHAnsi"/>
        </w:rPr>
      </w:pPr>
      <w:bookmarkStart w:id="49" w:name="_Toc216778873"/>
      <w:r>
        <w:rPr>
          <w:rFonts w:asciiTheme="majorHAnsi" w:hAnsiTheme="majorHAnsi"/>
        </w:rPr>
        <w:t>5.2.3. Rritja e nivelit të detit</w:t>
      </w:r>
      <w:bookmarkEnd w:id="49"/>
    </w:p>
    <w:p w14:paraId="34C63FF1" w14:textId="77777777" w:rsidR="00DD7ED4" w:rsidRDefault="001B67A1" w:rsidP="00DD7ED4">
      <w:pPr>
        <w:pStyle w:val="BodyText"/>
        <w:jc w:val="both"/>
        <w:rPr>
          <w:rFonts w:asciiTheme="majorHAnsi" w:hAnsiTheme="majorHAnsi" w:cstheme="majorHAnsi"/>
        </w:rPr>
      </w:pPr>
      <w:r>
        <w:rPr>
          <w:rFonts w:asciiTheme="majorHAnsi" w:hAnsiTheme="majorHAnsi"/>
        </w:rPr>
        <w:t>Një tendencë në rritje është konstatuar mes viteve 1993 dhe 2004. Kjo tendencë është pasuar nga një periudhë trevjeçare gjatë së cilës anomalia e rritjes së nivelit të detit shfaqi rënie, përpara se të regjistronte sërish një rritje mesatare mes viteve 2007 dhe 2015 (Baastel, 2024a). Niveli i detit projektohet të rritet me 11 cm brenda vitit 2030 dhe me 20-28 cm brenda vitit 2050 në të gjithë skenarët.</w:t>
      </w:r>
    </w:p>
    <w:p w14:paraId="34C63FF2" w14:textId="77777777" w:rsidR="00B1381B" w:rsidRDefault="00B1381B" w:rsidP="00DD7ED4">
      <w:pPr>
        <w:pStyle w:val="BodyText"/>
        <w:jc w:val="both"/>
        <w:rPr>
          <w:rFonts w:asciiTheme="majorHAnsi" w:hAnsiTheme="majorHAnsi" w:cstheme="majorHAnsi"/>
        </w:rPr>
      </w:pPr>
    </w:p>
    <w:p w14:paraId="2BC03DD3" w14:textId="247E921A" w:rsidR="00013DEE" w:rsidRDefault="0071225E" w:rsidP="00013DEE">
      <w:pPr>
        <w:pStyle w:val="BodyText"/>
        <w:keepNext/>
        <w:jc w:val="center"/>
      </w:pPr>
      <w:r>
        <w:rPr>
          <w:rFonts w:asciiTheme="majorHAnsi" w:hAnsiTheme="majorHAnsi"/>
          <w:noProof/>
          <w:sz w:val="20"/>
          <w:szCs w:val="20"/>
          <w:lang w:val="en-US"/>
        </w:rPr>
        <w:lastRenderedPageBreak/>
        <mc:AlternateContent>
          <mc:Choice Requires="wps">
            <w:drawing>
              <wp:anchor distT="45720" distB="45720" distL="114300" distR="114300" simplePos="0" relativeHeight="251705344" behindDoc="0" locked="0" layoutInCell="1" allowOverlap="1" wp14:anchorId="5DA3DE7B" wp14:editId="01BDAE3D">
                <wp:simplePos x="0" y="0"/>
                <wp:positionH relativeFrom="margin">
                  <wp:posOffset>63609</wp:posOffset>
                </wp:positionH>
                <wp:positionV relativeFrom="paragraph">
                  <wp:posOffset>818894</wp:posOffset>
                </wp:positionV>
                <wp:extent cx="1475717" cy="246382"/>
                <wp:effectExtent l="4763"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75717" cy="246382"/>
                        </a:xfrm>
                        <a:prstGeom prst="rect">
                          <a:avLst/>
                        </a:prstGeom>
                        <a:solidFill>
                          <a:schemeClr val="bg1"/>
                        </a:solidFill>
                        <a:ln w="9525">
                          <a:noFill/>
                          <a:miter lim="800000"/>
                          <a:headEnd/>
                          <a:tailEnd/>
                        </a:ln>
                      </wps:spPr>
                      <wps:txbx>
                        <w:txbxContent>
                          <w:p w14:paraId="61A9C5B4" w14:textId="64C0B1FA" w:rsidR="00376025" w:rsidRPr="00B14D18" w:rsidRDefault="00376025" w:rsidP="0071225E">
                            <w:pPr>
                              <w:spacing w:before="0" w:after="40"/>
                              <w:rPr>
                                <w:rFonts w:ascii="Calibri" w:hAnsi="Calibri" w:cs="Calibri"/>
                                <w:sz w:val="14"/>
                              </w:rPr>
                            </w:pPr>
                            <w:r>
                              <w:rPr>
                                <w:rFonts w:ascii="Calibri" w:hAnsi="Calibri"/>
                                <w:sz w:val="14"/>
                              </w:rPr>
                              <w:t>Anomalia e nivelit të detit (mm)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3DE7B" id="Text Box 47" o:spid="_x0000_s1068" type="#_x0000_t202" style="position:absolute;left:0;text-align:left;margin-left:5pt;margin-top:64.5pt;width:116.2pt;height:19.4pt;rotation:-90;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" fillcolor="white [3212]" stroked="f">
                <v:textbox>
                  <w:txbxContent>
                    <w:p w14:paraId="61A9C5B4" w14:textId="64C0B1FA" w:rsidR="00376025" w:rsidRPr="00B14D18" w:rsidRDefault="00376025" w:rsidP="0071225E">
                      <w:pPr>
                        <w:spacing w:before="0" w:after="40"/>
                        <w:rPr>
                          <w:rFonts w:ascii="Calibri" w:hAnsi="Calibri" w:cs="Calibri"/>
                          <w:sz w:val="14"/>
                        </w:rPr>
                      </w:pPr>
                      <w:r>
                        <w:rPr>
                          <w:rFonts w:ascii="Calibri" w:hAnsi="Calibri"/>
                          <w:sz w:val="14"/>
                        </w:rPr>
                        <w:t>Anomalia e nivelit të detit (mm)</w:t>
                      </w:r>
                    </w:p>
                  </w:txbxContent>
                </v:textbox>
                <w10:wrap anchorx="margin"/>
              </v:shape>
            </w:pict>
          </mc:Fallback>
        </mc:AlternateContent>
      </w:r>
      <w:r>
        <w:rPr>
          <w:rFonts w:asciiTheme="majorHAnsi" w:hAnsiTheme="majorHAnsi"/>
          <w:noProof/>
          <w:lang w:val="en-US"/>
        </w:rPr>
        <w:drawing>
          <wp:inline distT="0" distB="0" distL="0" distR="0" wp14:anchorId="34C64267" wp14:editId="709AD578">
            <wp:extent cx="4867954" cy="2057687"/>
            <wp:effectExtent l="19050" t="19050" r="27940" b="19050"/>
            <wp:docPr id="198393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3440" name=""/>
                    <pic:cNvPicPr/>
                  </pic:nvPicPr>
                  <pic:blipFill>
                    <a:blip r:embed="rId20"/>
                    <a:stretch>
                      <a:fillRect/>
                    </a:stretch>
                  </pic:blipFill>
                  <pic:spPr>
                    <a:xfrm>
                      <a:off x="0" y="0"/>
                      <a:ext cx="4867954" cy="2057687"/>
                    </a:xfrm>
                    <a:prstGeom prst="rect">
                      <a:avLst/>
                    </a:prstGeom>
                    <a:ln w="3175">
                      <a:solidFill>
                        <a:schemeClr val="tx1"/>
                      </a:solidFill>
                    </a:ln>
                  </pic:spPr>
                </pic:pic>
              </a:graphicData>
            </a:graphic>
          </wp:inline>
        </w:drawing>
      </w:r>
    </w:p>
    <w:p w14:paraId="34C63FF3" w14:textId="750C794D" w:rsidR="00B1381B" w:rsidRDefault="00013DEE" w:rsidP="00013DEE">
      <w:pPr>
        <w:pStyle w:val="Caption"/>
        <w:rPr>
          <w:rFonts w:cstheme="majorHAnsi"/>
        </w:rPr>
      </w:pPr>
      <w:bookmarkStart w:id="50" w:name="_Toc216778903"/>
      <w:r>
        <w:t xml:space="preserve">Figura </w:t>
      </w:r>
      <w:r w:rsidR="00D0533E">
        <w:fldChar w:fldCharType="begin"/>
      </w:r>
      <w:r w:rsidR="00D0533E">
        <w:instrText xml:space="preserve"> SEQ Figure \* ARABIC </w:instrText>
      </w:r>
      <w:r w:rsidR="00D0533E">
        <w:fldChar w:fldCharType="separate"/>
      </w:r>
      <w:r w:rsidR="00D0533E">
        <w:rPr>
          <w:noProof/>
        </w:rPr>
        <w:t>8</w:t>
      </w:r>
      <w:r w:rsidR="00D0533E">
        <w:rPr>
          <w:noProof/>
        </w:rPr>
        <w:fldChar w:fldCharType="end"/>
      </w:r>
      <w:r>
        <w:t>: Anomalia e nivelit të detit (mm) në Shqipëri (1993-2015)</w:t>
      </w:r>
      <w:bookmarkEnd w:id="50"/>
    </w:p>
    <w:p w14:paraId="4F622316" w14:textId="25C31FE3" w:rsidR="00F24FE6" w:rsidRPr="00BF2D62" w:rsidRDefault="00F24FE6" w:rsidP="00F24FE6">
      <w:pPr>
        <w:pStyle w:val="BodyText"/>
        <w:spacing w:after="0"/>
        <w:jc w:val="center"/>
        <w:rPr>
          <w:rFonts w:asciiTheme="majorHAnsi" w:hAnsiTheme="majorHAnsi" w:cstheme="majorHAnsi"/>
          <w:sz w:val="20"/>
          <w:szCs w:val="20"/>
        </w:rPr>
      </w:pPr>
      <w:r>
        <w:rPr>
          <w:rFonts w:asciiTheme="majorHAnsi" w:hAnsiTheme="majorHAnsi"/>
          <w:sz w:val="20"/>
          <w:szCs w:val="20"/>
        </w:rPr>
        <w:t>Burimi: Grupi i njohurive mbi ndryshimet klimatike, 2021</w:t>
      </w:r>
      <w:r>
        <w:rPr>
          <w:rFonts w:asciiTheme="majorHAnsi" w:hAnsiTheme="majorHAnsi"/>
          <w:sz w:val="20"/>
          <w:szCs w:val="20"/>
        </w:rPr>
        <w:br/>
      </w:r>
    </w:p>
    <w:p w14:paraId="34C63FF4" w14:textId="24991A14" w:rsidR="00DD7ED4" w:rsidRPr="00511125" w:rsidRDefault="00DD7ED4" w:rsidP="00511125">
      <w:pPr>
        <w:pStyle w:val="BodyText"/>
        <w:spacing w:after="0"/>
        <w:jc w:val="center"/>
        <w:rPr>
          <w:rFonts w:asciiTheme="majorHAnsi" w:hAnsiTheme="majorHAnsi" w:cstheme="majorHAnsi"/>
          <w:b/>
          <w:bCs/>
          <w:sz w:val="20"/>
          <w:szCs w:val="20"/>
        </w:rPr>
      </w:pPr>
    </w:p>
    <w:p w14:paraId="34C63FF5" w14:textId="1C555098" w:rsidR="00DD7ED4" w:rsidRPr="00FC75AC" w:rsidRDefault="004A7844" w:rsidP="00DD7ED4">
      <w:pPr>
        <w:pStyle w:val="Heading2"/>
        <w:spacing w:before="120"/>
        <w:rPr>
          <w:rFonts w:asciiTheme="majorHAnsi" w:hAnsiTheme="majorHAnsi" w:cstheme="majorHAnsi"/>
        </w:rPr>
      </w:pPr>
      <w:bookmarkStart w:id="51" w:name="_Toc216778874"/>
      <w:r>
        <w:rPr>
          <w:rFonts w:asciiTheme="majorHAnsi" w:hAnsiTheme="majorHAnsi"/>
        </w:rPr>
        <w:t>5.3. Rreziqet, ndikimet dhe cenueshmëria nga ndryshimet klimatike</w:t>
      </w:r>
      <w:bookmarkEnd w:id="51"/>
    </w:p>
    <w:p w14:paraId="34C63FF6" w14:textId="7EAE2288" w:rsidR="00DD7ED4" w:rsidRPr="00FC75AC" w:rsidRDefault="00DD7ED4" w:rsidP="00333C31">
      <w:pPr>
        <w:pStyle w:val="BodyText"/>
        <w:jc w:val="both"/>
        <w:rPr>
          <w:rFonts w:asciiTheme="majorHAnsi" w:hAnsiTheme="majorHAnsi" w:cstheme="majorHAnsi"/>
        </w:rPr>
      </w:pPr>
      <w:r>
        <w:rPr>
          <w:rFonts w:asciiTheme="majorHAnsi" w:hAnsiTheme="majorHAnsi"/>
        </w:rPr>
        <w:t xml:space="preserve">Shqipëria është e ekspozuar ndaj rreziqeve gjeologjike (tërmetet, rënia e shkëmbinjve), por rreziqet hidro-meteorologjike, si përmbytjet (vërshimet dhe rrëshqitjet e dheut që lidhen me to), thatësirat dhe zjarret në pyje janë më të shpeshtat (përgjegjëse për mbi 90% të dëmeve). </w:t>
      </w:r>
      <w:r>
        <w:rPr>
          <w:rFonts w:asciiTheme="majorHAnsi" w:hAnsiTheme="majorHAnsi"/>
        </w:rPr>
        <w:br/>
        <w:t xml:space="preserve">Rrëshqitjet e dheut klasifikohen tashmë si hidro-meteorologjike dhe jo gjeologjike për shkak të lidhjes së fortë me nivelin e reshjeve. Rrëshqitjet e dheut të shkaktuara nga tërmetet vijojnë të klasifikohen si gjeologjike. </w:t>
      </w:r>
      <w:r>
        <w:rPr>
          <w:rFonts w:asciiTheme="majorHAnsi" w:hAnsiTheme="majorHAnsi"/>
        </w:rPr>
        <w:br/>
        <w:t>Popullsia kryesisht rurale e Shqipërisë është tejet e cenueshme ndaj efekteve të ndryshimeve klimatike, ku ngjarjet ekstreme të reshjeve shpesh rezultojnë në përmbytje shkatërrimtare. Zonat urbane dhe industritë ndikohen nga përmbytjet dhe valët e të nxehtit, ndërsa periudhat e thatësirave kërcënojnë furnizimin me ujë të pijshëm. Ndërsa temperaturat rriten, skenarët klimatikë parashikojnë një rritje të ashpërsisë dhe shpeshtësisë së këtyre kushteve ekstreme të motit të nxehtë, të lagësht dhe të thatë, shoqëruar nga një ulje e totalit të reshjeve vjetore. Kjo e vendos në rrezik popullsinë e Shqipërisë dhe përbën një kërcënim sidomos për bujqësinë, energjinë hidrike, industritë turistike dhe qendrat urbane. Duke marrë parasysh ndikimin e drejtpërdrejtë që kanë thatësirat mbi bujqësinë, si dhe pamundësinë e interpretimit të informacioneve rreth klimës për të rritur gatishmërinë, është thelbësore të përmirësohet më tej parashikimi i informacioneve rreth klimës për të kuptuar se kur duhet racionuar uji gjatë sezonit të thatësirave. E njëjta logjikë vlen edhe për parashikimin dhe prodhimin e energjisë për hidrocentralet në mënyrë që të mos tejkalohet prodhimi gjatë sezoneve me reshje të luhatshme.</w:t>
      </w:r>
    </w:p>
    <w:p w14:paraId="5378AB43" w14:textId="1313D339" w:rsidR="008E78EC" w:rsidRPr="008E78EC" w:rsidRDefault="00DD7ED4" w:rsidP="008E78EC">
      <w:pPr>
        <w:pStyle w:val="BodyText"/>
        <w:jc w:val="both"/>
        <w:rPr>
          <w:rFonts w:asciiTheme="majorHAnsi" w:hAnsiTheme="majorHAnsi" w:cstheme="majorHAnsi"/>
        </w:rPr>
      </w:pPr>
      <w:r>
        <w:rPr>
          <w:rFonts w:asciiTheme="majorHAnsi" w:hAnsiTheme="majorHAnsi"/>
        </w:rPr>
        <w:t xml:space="preserve">Indeksi i Vendeve i Nismës Globale të Përshtatjes Notre Dame mat cenueshmërinë dhe gatishmërinë ndaj rreziqeve dhe krizave, në rang global, për të gjitha vendet. Në vitin 2021, Shqipëria u rendit e 80-ta (nga 185 vende të vlerësuara). Për sa i përket cenueshmërisë Shqipëria u rendit në vendin e 78-të ndërsa për sa i përket gatishmërisë në vendin e 95-të. Këto vlerësime janë negative krahasuar me shtetet e BE-së dhe Shqipëria renditet më poshtë se vendet e tjera të Ballkanit Perëndimor. Ndryshimet klimatike pritet të rrisin shpeshtësinë dhe kohëzgjatjen e ngjarjeve ekstreme. Banka Botërore ka përllogaritur se përmbytjet kanë një kosto prej 200 milionë dollarë çdo vit në PBB-në e Shqipërisë. Kjo përllogaritje bazohet në Profilin e Riskut nga </w:t>
      </w:r>
      <w:r>
        <w:rPr>
          <w:rFonts w:asciiTheme="majorHAnsi" w:hAnsiTheme="majorHAnsi"/>
        </w:rPr>
        <w:lastRenderedPageBreak/>
        <w:t>Fatkeqësitë 2015: Shqipëria (publikuar nga Struktura Globale për Zvogëlimin dhe Rimëkëmbjen nga Fatkeqësitë (GFDRR) në bashkëpunim me Bankën Botërore)</w:t>
      </w:r>
    </w:p>
    <w:p w14:paraId="34C63FF7" w14:textId="285AD6F8" w:rsidR="00DD7ED4" w:rsidRPr="00511125" w:rsidRDefault="008E78EC" w:rsidP="00333C31">
      <w:pPr>
        <w:pStyle w:val="BodyText"/>
        <w:jc w:val="both"/>
        <w:rPr>
          <w:rFonts w:asciiTheme="majorHAnsi" w:hAnsiTheme="majorHAnsi" w:cstheme="majorHAnsi"/>
        </w:rPr>
      </w:pPr>
      <w:r>
        <w:rPr>
          <w:rFonts w:asciiTheme="majorHAnsi" w:hAnsiTheme="majorHAnsi"/>
        </w:rPr>
        <w:t>Pritet që kjo shifër të vazhdojë të rritet në vitet në vijim. Kufizimi i ndikimit të këtyre efekteve tek ekonomia dhe zhvillimi i vendit kërkon kapacitete dhe burime financiare, të cilat për momentin janë të pamjaftueshme. Për të realizuar një planifikim efikas të përshtatjes është thelbësore të ekzistojë një bazë e qëndrueshme të dhënash për ndikimin sektorial.</w:t>
      </w:r>
    </w:p>
    <w:p w14:paraId="34C63FF8" w14:textId="77777777" w:rsidR="00DD7ED4" w:rsidRPr="00FC75AC" w:rsidRDefault="00DD7ED4" w:rsidP="00333C31">
      <w:pPr>
        <w:pStyle w:val="BodyText"/>
        <w:jc w:val="both"/>
        <w:rPr>
          <w:rFonts w:asciiTheme="majorHAnsi" w:hAnsiTheme="majorHAnsi" w:cstheme="majorHAnsi"/>
        </w:rPr>
      </w:pPr>
      <w:r>
        <w:rPr>
          <w:rFonts w:asciiTheme="majorHAnsi" w:hAnsiTheme="majorHAnsi"/>
        </w:rPr>
        <w:t>Rreziqet aktuale në të gjithë sektorët u matën për aspektet në vijim: rritja e temperaturës, intensiteti i reshjeve dhe rritja e nivelit të detit (RrND); Rreziqet e ardhshme u fokusuan te rritja e temperaturës, ulja e reshjeve, RrND-ja dhe thatësirat. Kjo rezultoi në vlerësimet e kombinuara të rrezikut në vijim për sektorët e ndryshëm dhe për nënsektorët e tyre të identifikuar.</w:t>
      </w:r>
    </w:p>
    <w:p w14:paraId="34C63FF9" w14:textId="77777777" w:rsidR="00DD7ED4" w:rsidRPr="00FC75AC" w:rsidRDefault="004A7844" w:rsidP="00DD7ED4">
      <w:pPr>
        <w:pStyle w:val="Heading2"/>
        <w:spacing w:before="120"/>
        <w:rPr>
          <w:rFonts w:asciiTheme="majorHAnsi" w:hAnsiTheme="majorHAnsi" w:cstheme="majorHAnsi"/>
        </w:rPr>
      </w:pPr>
      <w:bookmarkStart w:id="52" w:name="_Toc216778875"/>
      <w:r>
        <w:rPr>
          <w:rFonts w:asciiTheme="majorHAnsi" w:hAnsiTheme="majorHAnsi"/>
        </w:rPr>
        <w:t>5.3.1. Rreziqet, ndikimet dhe cenueshmëria në sektorin e bujqësisë</w:t>
      </w:r>
      <w:bookmarkEnd w:id="52"/>
    </w:p>
    <w:p w14:paraId="34C63FFA" w14:textId="0CC4E529" w:rsidR="00DD7ED4" w:rsidRDefault="00DD7ED4" w:rsidP="00DD7ED4">
      <w:pPr>
        <w:pStyle w:val="BodyText"/>
        <w:jc w:val="both"/>
        <w:rPr>
          <w:rFonts w:asciiTheme="majorHAnsi" w:hAnsiTheme="majorHAnsi" w:cstheme="majorHAnsi"/>
        </w:rPr>
      </w:pPr>
      <w:r>
        <w:rPr>
          <w:rFonts w:asciiTheme="majorHAnsi" w:hAnsiTheme="majorHAnsi"/>
        </w:rPr>
        <w:t>Ndonëse shqetësimet rreth rreziqeve aktuale në sektorin e bujqësisë janë të përziera, rreziqet e ardhshme janë seriozisht shqetësuese dhe madje alarmante në rastin e skenarit më të keq në të ardhmen. Zonat fushore janë ZAE-ja me rrezik shumë të lartë në të tashmen dhe të ardhmen, dhe pasohet nga ZAE-ja e zonave të ndërmjetme kodrinore që renditet e dyta për sa i përket nivelit të rrezikut. Zonat malore veriore dhe qendrore përbëjnë ZAE-në me rrezikun më të ulët. Kjo ZAE mund të përfitojë nga sezonet më të gjata të kultivimit për kulturat bujqësore të verës dhe dimrit, të cilat mund të kompensojnë rritjen e kërkesës për ujë dhe stresin nga nxehtësia që priten gjatë muajve të verës. Megjithatë, në terma afatgjatë, ky përfitim mund të kërcënohet sërish nga rritja e vazhdueshme e kërkesës për ujë dhe e stresit nga nxehtësia. Sipas nënsektorëve, kulturat bujqësore janë më të rrezikuarat, si në të tashmen po ashtu edhe në projeksionet për të ardhmen, në varësi të llojit të kulturës, RrND-së dhe periudhës, dhe rreziqet rriten ndjeshëm në skenarin më të keq. Përgjithësisht, kulturat e përkohshme bujqësore janë më të rrezikuarat, sidomos në terma afatshkurtër. Në nënsektorët e bagëtive, rreziqet variojnë nga të ulëta e deri në shumë të larta. Gjedhët dhe kuajt janë më të rrezikuarit, rrezik ky që bëhet shumë i lartë në rastin e skenarit klimatik më të keq. Derrat, shpendët, delet dhe dhitë kanë vlerësime rreziku më të ulëta, dhe në rastin e skenarit më të keq niveli i rrezikut është mesatar (Tabela 5).</w:t>
      </w:r>
    </w:p>
    <w:p w14:paraId="5697BC7D" w14:textId="1831A0A1" w:rsidR="003E34BD" w:rsidRDefault="003E34BD" w:rsidP="003E34BD">
      <w:pPr>
        <w:pStyle w:val="Caption"/>
        <w:keepNext/>
      </w:pPr>
      <w:bookmarkStart w:id="53" w:name="_Toc216778888"/>
      <w:r>
        <w:t xml:space="preserve">Tabela </w:t>
      </w:r>
      <w:r w:rsidR="00D0533E">
        <w:fldChar w:fldCharType="begin"/>
      </w:r>
      <w:r w:rsidR="00D0533E">
        <w:instrText xml:space="preserve"> SEQ Table \* ARABIC </w:instrText>
      </w:r>
      <w:r w:rsidR="00D0533E">
        <w:fldChar w:fldCharType="separate"/>
      </w:r>
      <w:r w:rsidR="00D0533E">
        <w:rPr>
          <w:noProof/>
        </w:rPr>
        <w:t>5</w:t>
      </w:r>
      <w:r w:rsidR="00D0533E">
        <w:rPr>
          <w:noProof/>
        </w:rPr>
        <w:fldChar w:fldCharType="end"/>
      </w:r>
      <w:r>
        <w:t>: Rreziqet, ndikimet dhe cenueshmëria në sektorin e bujqësisë</w:t>
      </w:r>
      <w:bookmarkEnd w:id="53"/>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3"/>
        <w:gridCol w:w="2936"/>
        <w:gridCol w:w="2861"/>
      </w:tblGrid>
      <w:tr w:rsidR="00DD7ED4" w:rsidRPr="00FC75AC" w14:paraId="34C63FFE" w14:textId="77777777" w:rsidTr="003E34BD">
        <w:trPr>
          <w:tblHeader/>
          <w:tblCellSpacing w:w="15" w:type="dxa"/>
          <w:jc w:val="center"/>
        </w:trPr>
        <w:tc>
          <w:tcPr>
            <w:tcW w:w="0" w:type="auto"/>
            <w:vAlign w:val="center"/>
            <w:hideMark/>
          </w:tcPr>
          <w:p w14:paraId="34C63FFB" w14:textId="2A986AEF"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ZAE-të dhe nënsektorët e bujqësisë</w:t>
            </w:r>
          </w:p>
        </w:tc>
        <w:tc>
          <w:tcPr>
            <w:tcW w:w="0" w:type="auto"/>
            <w:vAlign w:val="center"/>
            <w:hideMark/>
          </w:tcPr>
          <w:p w14:paraId="34C63FFC" w14:textId="7956CC8E" w:rsidR="00DD7ED4" w:rsidRPr="00FC75AC" w:rsidRDefault="00DD7ED4" w:rsidP="00333C31">
            <w:pPr>
              <w:pStyle w:val="BodyText"/>
              <w:jc w:val="center"/>
              <w:rPr>
                <w:rFonts w:asciiTheme="majorHAnsi" w:hAnsiTheme="majorHAnsi" w:cstheme="majorHAnsi"/>
                <w:b/>
                <w:bCs/>
              </w:rPr>
            </w:pPr>
            <w:r>
              <w:rPr>
                <w:rFonts w:asciiTheme="majorHAnsi" w:hAnsiTheme="majorHAnsi"/>
                <w:b/>
                <w:bCs/>
              </w:rPr>
              <w:t>Rreziku i përgjithshëm aktual</w:t>
            </w:r>
          </w:p>
        </w:tc>
        <w:tc>
          <w:tcPr>
            <w:tcW w:w="0" w:type="auto"/>
            <w:vAlign w:val="center"/>
            <w:hideMark/>
          </w:tcPr>
          <w:p w14:paraId="34C63FFD" w14:textId="76469105" w:rsidR="00DD7ED4" w:rsidRPr="00FC75AC" w:rsidRDefault="00DD7ED4" w:rsidP="00333C31">
            <w:pPr>
              <w:pStyle w:val="BodyText"/>
              <w:jc w:val="center"/>
              <w:rPr>
                <w:rFonts w:asciiTheme="majorHAnsi" w:hAnsiTheme="majorHAnsi" w:cstheme="majorHAnsi"/>
                <w:b/>
                <w:bCs/>
              </w:rPr>
            </w:pPr>
            <w:r>
              <w:rPr>
                <w:rFonts w:asciiTheme="majorHAnsi" w:hAnsiTheme="majorHAnsi"/>
                <w:b/>
                <w:bCs/>
              </w:rPr>
              <w:t xml:space="preserve">Rreziku i ardhshëm </w:t>
            </w:r>
            <w:r>
              <w:rPr>
                <w:rFonts w:asciiTheme="majorHAnsi" w:hAnsiTheme="majorHAnsi"/>
                <w:b/>
                <w:bCs/>
              </w:rPr>
              <w:br/>
              <w:t>(skenari më i mirë/më i keq)</w:t>
            </w:r>
          </w:p>
        </w:tc>
      </w:tr>
      <w:tr w:rsidR="00DD7ED4" w:rsidRPr="00FC75AC" w14:paraId="34C64002" w14:textId="77777777" w:rsidTr="003E34BD">
        <w:trPr>
          <w:tblCellSpacing w:w="15" w:type="dxa"/>
          <w:jc w:val="center"/>
        </w:trPr>
        <w:tc>
          <w:tcPr>
            <w:tcW w:w="0" w:type="auto"/>
            <w:vAlign w:val="center"/>
            <w:hideMark/>
          </w:tcPr>
          <w:p w14:paraId="34C63FFF" w14:textId="77777777" w:rsidR="00DD7ED4" w:rsidRPr="003E34BD" w:rsidRDefault="00DD7ED4" w:rsidP="00CE45B5">
            <w:pPr>
              <w:pStyle w:val="BodyText"/>
              <w:jc w:val="both"/>
              <w:rPr>
                <w:rFonts w:asciiTheme="majorHAnsi" w:hAnsiTheme="majorHAnsi" w:cstheme="majorHAnsi"/>
                <w:b/>
                <w:bCs/>
              </w:rPr>
            </w:pPr>
            <w:r>
              <w:rPr>
                <w:rFonts w:asciiTheme="majorHAnsi" w:hAnsiTheme="majorHAnsi"/>
                <w:b/>
                <w:bCs/>
              </w:rPr>
              <w:t>ZAE</w:t>
            </w:r>
          </w:p>
        </w:tc>
        <w:tc>
          <w:tcPr>
            <w:tcW w:w="0" w:type="auto"/>
            <w:vAlign w:val="center"/>
            <w:hideMark/>
          </w:tcPr>
          <w:p w14:paraId="34C64000" w14:textId="77777777" w:rsidR="00DD7ED4" w:rsidRPr="00FC75AC" w:rsidRDefault="00DD7ED4" w:rsidP="00511125">
            <w:pPr>
              <w:pStyle w:val="BodyText"/>
              <w:jc w:val="center"/>
              <w:rPr>
                <w:rFonts w:asciiTheme="majorHAnsi" w:hAnsiTheme="majorHAnsi" w:cstheme="majorHAnsi"/>
              </w:rPr>
            </w:pPr>
          </w:p>
        </w:tc>
        <w:tc>
          <w:tcPr>
            <w:tcW w:w="0" w:type="auto"/>
            <w:vAlign w:val="center"/>
            <w:hideMark/>
          </w:tcPr>
          <w:p w14:paraId="34C64001" w14:textId="77777777" w:rsidR="00DD7ED4" w:rsidRPr="00FC75AC" w:rsidRDefault="00DD7ED4" w:rsidP="00511125">
            <w:pPr>
              <w:pStyle w:val="BodyText"/>
              <w:jc w:val="center"/>
              <w:rPr>
                <w:rFonts w:asciiTheme="majorHAnsi" w:hAnsiTheme="majorHAnsi" w:cstheme="majorHAnsi"/>
              </w:rPr>
            </w:pPr>
          </w:p>
        </w:tc>
      </w:tr>
      <w:tr w:rsidR="00DD7ED4" w:rsidRPr="00FC75AC" w14:paraId="34C64006" w14:textId="77777777" w:rsidTr="003E34BD">
        <w:trPr>
          <w:tblCellSpacing w:w="15" w:type="dxa"/>
          <w:jc w:val="center"/>
        </w:trPr>
        <w:tc>
          <w:tcPr>
            <w:tcW w:w="0" w:type="auto"/>
            <w:vAlign w:val="center"/>
            <w:hideMark/>
          </w:tcPr>
          <w:p w14:paraId="34C64003" w14:textId="77777777" w:rsidR="00DD7ED4" w:rsidRPr="00FC75AC" w:rsidRDefault="00DD7ED4" w:rsidP="00511125">
            <w:pPr>
              <w:pStyle w:val="BodyText"/>
              <w:jc w:val="right"/>
              <w:rPr>
                <w:rFonts w:asciiTheme="majorHAnsi" w:hAnsiTheme="majorHAnsi" w:cstheme="majorHAnsi"/>
              </w:rPr>
            </w:pPr>
            <w:r>
              <w:rPr>
                <w:rFonts w:asciiTheme="majorHAnsi" w:hAnsiTheme="majorHAnsi"/>
              </w:rPr>
              <w:t>Zonat fushore</w:t>
            </w:r>
          </w:p>
        </w:tc>
        <w:tc>
          <w:tcPr>
            <w:tcW w:w="0" w:type="auto"/>
            <w:vAlign w:val="center"/>
            <w:hideMark/>
          </w:tcPr>
          <w:p w14:paraId="34C64004"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Shumë i lartë</w:t>
            </w:r>
          </w:p>
        </w:tc>
        <w:tc>
          <w:tcPr>
            <w:tcW w:w="0" w:type="auto"/>
            <w:vAlign w:val="center"/>
            <w:hideMark/>
          </w:tcPr>
          <w:p w14:paraId="34C64005"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Shumë i lartë</w:t>
            </w:r>
          </w:p>
        </w:tc>
      </w:tr>
      <w:tr w:rsidR="00DD7ED4" w:rsidRPr="00FC75AC" w14:paraId="34C6400A" w14:textId="77777777" w:rsidTr="003E34BD">
        <w:trPr>
          <w:tblCellSpacing w:w="15" w:type="dxa"/>
          <w:jc w:val="center"/>
        </w:trPr>
        <w:tc>
          <w:tcPr>
            <w:tcW w:w="0" w:type="auto"/>
            <w:vAlign w:val="center"/>
            <w:hideMark/>
          </w:tcPr>
          <w:p w14:paraId="34C64007" w14:textId="77777777" w:rsidR="00DD7ED4" w:rsidRPr="00FC75AC" w:rsidRDefault="00DD7ED4" w:rsidP="00511125">
            <w:pPr>
              <w:pStyle w:val="BodyText"/>
              <w:jc w:val="right"/>
              <w:rPr>
                <w:rFonts w:asciiTheme="majorHAnsi" w:hAnsiTheme="majorHAnsi" w:cstheme="majorHAnsi"/>
              </w:rPr>
            </w:pPr>
            <w:r>
              <w:rPr>
                <w:rFonts w:asciiTheme="majorHAnsi" w:hAnsiTheme="majorHAnsi"/>
              </w:rPr>
              <w:t>Zonat e ndërmjetme kodrinore</w:t>
            </w:r>
          </w:p>
        </w:tc>
        <w:tc>
          <w:tcPr>
            <w:tcW w:w="0" w:type="auto"/>
            <w:vAlign w:val="center"/>
            <w:hideMark/>
          </w:tcPr>
          <w:p w14:paraId="34C64008"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I lartë</w:t>
            </w:r>
          </w:p>
        </w:tc>
        <w:tc>
          <w:tcPr>
            <w:tcW w:w="0" w:type="auto"/>
            <w:vAlign w:val="center"/>
            <w:hideMark/>
          </w:tcPr>
          <w:p w14:paraId="34C64009"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I lartë – Shumë i lartë</w:t>
            </w:r>
          </w:p>
        </w:tc>
      </w:tr>
      <w:tr w:rsidR="00DD7ED4" w:rsidRPr="00FC75AC" w14:paraId="34C6400E" w14:textId="77777777" w:rsidTr="003E34BD">
        <w:trPr>
          <w:tblCellSpacing w:w="15" w:type="dxa"/>
          <w:jc w:val="center"/>
        </w:trPr>
        <w:tc>
          <w:tcPr>
            <w:tcW w:w="0" w:type="auto"/>
            <w:vAlign w:val="center"/>
            <w:hideMark/>
          </w:tcPr>
          <w:p w14:paraId="34C6400B" w14:textId="77777777" w:rsidR="00DD7ED4" w:rsidRPr="00FC75AC" w:rsidRDefault="00DD7ED4" w:rsidP="00511125">
            <w:pPr>
              <w:pStyle w:val="BodyText"/>
              <w:jc w:val="right"/>
              <w:rPr>
                <w:rFonts w:asciiTheme="majorHAnsi" w:hAnsiTheme="majorHAnsi" w:cstheme="majorHAnsi"/>
              </w:rPr>
            </w:pPr>
            <w:r>
              <w:rPr>
                <w:rFonts w:asciiTheme="majorHAnsi" w:hAnsiTheme="majorHAnsi"/>
              </w:rPr>
              <w:t>Zonat malore veriore dhe qendrore</w:t>
            </w:r>
          </w:p>
        </w:tc>
        <w:tc>
          <w:tcPr>
            <w:tcW w:w="0" w:type="auto"/>
            <w:vAlign w:val="center"/>
            <w:hideMark/>
          </w:tcPr>
          <w:p w14:paraId="34C6400C"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0D"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I ulët – Mesatar</w:t>
            </w:r>
          </w:p>
        </w:tc>
      </w:tr>
      <w:tr w:rsidR="00DD7ED4" w:rsidRPr="00FC75AC" w14:paraId="34C64012" w14:textId="77777777" w:rsidTr="003E34BD">
        <w:trPr>
          <w:tblCellSpacing w:w="15" w:type="dxa"/>
          <w:jc w:val="center"/>
        </w:trPr>
        <w:tc>
          <w:tcPr>
            <w:tcW w:w="0" w:type="auto"/>
            <w:vAlign w:val="center"/>
            <w:hideMark/>
          </w:tcPr>
          <w:p w14:paraId="34C6400F" w14:textId="77777777" w:rsidR="00DD7ED4" w:rsidRPr="00FC75AC" w:rsidRDefault="00DD7ED4" w:rsidP="00511125">
            <w:pPr>
              <w:pStyle w:val="BodyText"/>
              <w:jc w:val="right"/>
              <w:rPr>
                <w:rFonts w:asciiTheme="majorHAnsi" w:hAnsiTheme="majorHAnsi" w:cstheme="majorHAnsi"/>
              </w:rPr>
            </w:pPr>
            <w:r>
              <w:rPr>
                <w:rFonts w:asciiTheme="majorHAnsi" w:hAnsiTheme="majorHAnsi"/>
              </w:rPr>
              <w:t>Malësia jugore</w:t>
            </w:r>
          </w:p>
        </w:tc>
        <w:tc>
          <w:tcPr>
            <w:tcW w:w="0" w:type="auto"/>
            <w:vAlign w:val="center"/>
            <w:hideMark/>
          </w:tcPr>
          <w:p w14:paraId="34C64010"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Mesatar</w:t>
            </w:r>
          </w:p>
        </w:tc>
        <w:tc>
          <w:tcPr>
            <w:tcW w:w="0" w:type="auto"/>
            <w:vAlign w:val="center"/>
            <w:hideMark/>
          </w:tcPr>
          <w:p w14:paraId="34C64011"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Mesatar – I lartë</w:t>
            </w:r>
          </w:p>
        </w:tc>
      </w:tr>
      <w:tr w:rsidR="00DD7ED4" w:rsidRPr="00FC75AC" w14:paraId="34C64016" w14:textId="77777777" w:rsidTr="003E34BD">
        <w:trPr>
          <w:tblCellSpacing w:w="15" w:type="dxa"/>
          <w:jc w:val="center"/>
        </w:trPr>
        <w:tc>
          <w:tcPr>
            <w:tcW w:w="0" w:type="auto"/>
            <w:vAlign w:val="center"/>
            <w:hideMark/>
          </w:tcPr>
          <w:p w14:paraId="34C64013" w14:textId="77777777" w:rsidR="00DD7ED4" w:rsidRPr="003E34BD" w:rsidRDefault="00DD7ED4" w:rsidP="00CE45B5">
            <w:pPr>
              <w:pStyle w:val="BodyText"/>
              <w:jc w:val="both"/>
              <w:rPr>
                <w:rFonts w:asciiTheme="majorHAnsi" w:hAnsiTheme="majorHAnsi" w:cstheme="majorHAnsi"/>
                <w:b/>
                <w:bCs/>
              </w:rPr>
            </w:pPr>
            <w:r>
              <w:rPr>
                <w:rFonts w:asciiTheme="majorHAnsi" w:hAnsiTheme="majorHAnsi"/>
                <w:b/>
                <w:bCs/>
              </w:rPr>
              <w:lastRenderedPageBreak/>
              <w:t>NËNSEKTORËT</w:t>
            </w:r>
          </w:p>
        </w:tc>
        <w:tc>
          <w:tcPr>
            <w:tcW w:w="0" w:type="auto"/>
            <w:vAlign w:val="center"/>
            <w:hideMark/>
          </w:tcPr>
          <w:p w14:paraId="34C64014" w14:textId="77777777" w:rsidR="00DD7ED4" w:rsidRPr="00FC75AC" w:rsidRDefault="00DD7ED4" w:rsidP="00511125">
            <w:pPr>
              <w:pStyle w:val="BodyText"/>
              <w:jc w:val="center"/>
              <w:rPr>
                <w:rFonts w:asciiTheme="majorHAnsi" w:hAnsiTheme="majorHAnsi" w:cstheme="majorHAnsi"/>
              </w:rPr>
            </w:pPr>
          </w:p>
        </w:tc>
        <w:tc>
          <w:tcPr>
            <w:tcW w:w="0" w:type="auto"/>
            <w:vAlign w:val="center"/>
            <w:hideMark/>
          </w:tcPr>
          <w:p w14:paraId="34C64015" w14:textId="77777777" w:rsidR="00DD7ED4" w:rsidRPr="00FC75AC" w:rsidRDefault="00DD7ED4" w:rsidP="00511125">
            <w:pPr>
              <w:pStyle w:val="BodyText"/>
              <w:jc w:val="center"/>
              <w:rPr>
                <w:rFonts w:asciiTheme="majorHAnsi" w:hAnsiTheme="majorHAnsi" w:cstheme="majorHAnsi"/>
              </w:rPr>
            </w:pPr>
          </w:p>
        </w:tc>
      </w:tr>
      <w:tr w:rsidR="00DD7ED4" w:rsidRPr="00FC75AC" w14:paraId="34C6401A" w14:textId="77777777" w:rsidTr="003E34BD">
        <w:trPr>
          <w:tblCellSpacing w:w="15" w:type="dxa"/>
          <w:jc w:val="center"/>
        </w:trPr>
        <w:tc>
          <w:tcPr>
            <w:tcW w:w="0" w:type="auto"/>
            <w:vAlign w:val="center"/>
            <w:hideMark/>
          </w:tcPr>
          <w:p w14:paraId="34C64017" w14:textId="77777777" w:rsidR="00DD7ED4" w:rsidRPr="00FC75AC" w:rsidRDefault="00DD7ED4" w:rsidP="00511125">
            <w:pPr>
              <w:pStyle w:val="BodyText"/>
              <w:jc w:val="right"/>
              <w:rPr>
                <w:rFonts w:asciiTheme="majorHAnsi" w:hAnsiTheme="majorHAnsi" w:cstheme="majorHAnsi"/>
              </w:rPr>
            </w:pPr>
            <w:r>
              <w:rPr>
                <w:rFonts w:asciiTheme="majorHAnsi" w:hAnsiTheme="majorHAnsi"/>
              </w:rPr>
              <w:t>Kulturat e përkohshme bujqësore</w:t>
            </w:r>
          </w:p>
        </w:tc>
        <w:tc>
          <w:tcPr>
            <w:tcW w:w="0" w:type="auto"/>
            <w:vAlign w:val="center"/>
            <w:hideMark/>
          </w:tcPr>
          <w:p w14:paraId="34C64018"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I lartë</w:t>
            </w:r>
          </w:p>
        </w:tc>
        <w:tc>
          <w:tcPr>
            <w:tcW w:w="0" w:type="auto"/>
            <w:vAlign w:val="center"/>
            <w:hideMark/>
          </w:tcPr>
          <w:p w14:paraId="34C64019"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Shumë i lartë</w:t>
            </w:r>
          </w:p>
        </w:tc>
      </w:tr>
      <w:tr w:rsidR="00DD7ED4" w:rsidRPr="00FC75AC" w14:paraId="34C6401E" w14:textId="77777777" w:rsidTr="003E34BD">
        <w:trPr>
          <w:tblCellSpacing w:w="15" w:type="dxa"/>
          <w:jc w:val="center"/>
        </w:trPr>
        <w:tc>
          <w:tcPr>
            <w:tcW w:w="0" w:type="auto"/>
            <w:vAlign w:val="center"/>
            <w:hideMark/>
          </w:tcPr>
          <w:p w14:paraId="34C6401B" w14:textId="77777777" w:rsidR="00DD7ED4" w:rsidRPr="00FC75AC" w:rsidRDefault="00DD7ED4" w:rsidP="00511125">
            <w:pPr>
              <w:pStyle w:val="BodyText"/>
              <w:jc w:val="right"/>
              <w:rPr>
                <w:rFonts w:asciiTheme="majorHAnsi" w:hAnsiTheme="majorHAnsi" w:cstheme="majorHAnsi"/>
              </w:rPr>
            </w:pPr>
            <w:r>
              <w:rPr>
                <w:rFonts w:asciiTheme="majorHAnsi" w:hAnsiTheme="majorHAnsi"/>
              </w:rPr>
              <w:t>Kulturat e përhershme bujqësore</w:t>
            </w:r>
          </w:p>
        </w:tc>
        <w:tc>
          <w:tcPr>
            <w:tcW w:w="0" w:type="auto"/>
            <w:vAlign w:val="center"/>
            <w:hideMark/>
          </w:tcPr>
          <w:p w14:paraId="34C6401C"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Mesatar</w:t>
            </w:r>
          </w:p>
        </w:tc>
        <w:tc>
          <w:tcPr>
            <w:tcW w:w="0" w:type="auto"/>
            <w:vAlign w:val="center"/>
            <w:hideMark/>
          </w:tcPr>
          <w:p w14:paraId="34C6401D"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Mesatar – Shumë i lartë</w:t>
            </w:r>
          </w:p>
        </w:tc>
      </w:tr>
      <w:tr w:rsidR="00DD7ED4" w:rsidRPr="00FC75AC" w14:paraId="34C64022" w14:textId="77777777" w:rsidTr="003E34BD">
        <w:trPr>
          <w:tblCellSpacing w:w="15" w:type="dxa"/>
          <w:jc w:val="center"/>
        </w:trPr>
        <w:tc>
          <w:tcPr>
            <w:tcW w:w="0" w:type="auto"/>
            <w:vAlign w:val="center"/>
            <w:hideMark/>
          </w:tcPr>
          <w:p w14:paraId="34C6401F" w14:textId="77777777" w:rsidR="00DD7ED4" w:rsidRPr="00FC75AC" w:rsidRDefault="00DD7ED4" w:rsidP="00511125">
            <w:pPr>
              <w:pStyle w:val="BodyText"/>
              <w:jc w:val="right"/>
              <w:rPr>
                <w:rFonts w:asciiTheme="majorHAnsi" w:hAnsiTheme="majorHAnsi" w:cstheme="majorHAnsi"/>
              </w:rPr>
            </w:pPr>
            <w:r>
              <w:rPr>
                <w:rFonts w:asciiTheme="majorHAnsi" w:hAnsiTheme="majorHAnsi"/>
              </w:rPr>
              <w:t>Gjedhët dhe kuajt</w:t>
            </w:r>
          </w:p>
        </w:tc>
        <w:tc>
          <w:tcPr>
            <w:tcW w:w="0" w:type="auto"/>
            <w:vAlign w:val="center"/>
            <w:hideMark/>
          </w:tcPr>
          <w:p w14:paraId="34C64020"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Mesatar</w:t>
            </w:r>
          </w:p>
        </w:tc>
        <w:tc>
          <w:tcPr>
            <w:tcW w:w="0" w:type="auto"/>
            <w:vAlign w:val="center"/>
            <w:hideMark/>
          </w:tcPr>
          <w:p w14:paraId="34C64021"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I lartë – Shumë i lartë</w:t>
            </w:r>
          </w:p>
        </w:tc>
      </w:tr>
      <w:tr w:rsidR="00DD7ED4" w:rsidRPr="00FC75AC" w14:paraId="34C64026" w14:textId="77777777" w:rsidTr="003E34BD">
        <w:trPr>
          <w:tblCellSpacing w:w="15" w:type="dxa"/>
          <w:jc w:val="center"/>
        </w:trPr>
        <w:tc>
          <w:tcPr>
            <w:tcW w:w="0" w:type="auto"/>
            <w:vAlign w:val="center"/>
            <w:hideMark/>
          </w:tcPr>
          <w:p w14:paraId="34C64023" w14:textId="77777777" w:rsidR="00DD7ED4" w:rsidRPr="00FC75AC" w:rsidRDefault="00DD7ED4" w:rsidP="00511125">
            <w:pPr>
              <w:pStyle w:val="BodyText"/>
              <w:jc w:val="right"/>
              <w:rPr>
                <w:rFonts w:asciiTheme="majorHAnsi" w:hAnsiTheme="majorHAnsi" w:cstheme="majorHAnsi"/>
              </w:rPr>
            </w:pPr>
            <w:r>
              <w:rPr>
                <w:rFonts w:asciiTheme="majorHAnsi" w:hAnsiTheme="majorHAnsi"/>
              </w:rPr>
              <w:t>Derrat dhe shpendët</w:t>
            </w:r>
          </w:p>
        </w:tc>
        <w:tc>
          <w:tcPr>
            <w:tcW w:w="0" w:type="auto"/>
            <w:vAlign w:val="center"/>
            <w:hideMark/>
          </w:tcPr>
          <w:p w14:paraId="34C64024"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25"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I ulët – Mesatar</w:t>
            </w:r>
          </w:p>
        </w:tc>
      </w:tr>
      <w:tr w:rsidR="00DD7ED4" w:rsidRPr="00FC75AC" w14:paraId="34C6402A" w14:textId="77777777" w:rsidTr="003E34BD">
        <w:trPr>
          <w:tblCellSpacing w:w="15" w:type="dxa"/>
          <w:jc w:val="center"/>
        </w:trPr>
        <w:tc>
          <w:tcPr>
            <w:tcW w:w="0" w:type="auto"/>
            <w:vAlign w:val="center"/>
            <w:hideMark/>
          </w:tcPr>
          <w:p w14:paraId="34C64027" w14:textId="77777777" w:rsidR="00DD7ED4" w:rsidRPr="00FC75AC" w:rsidRDefault="00DD7ED4" w:rsidP="00511125">
            <w:pPr>
              <w:pStyle w:val="BodyText"/>
              <w:jc w:val="right"/>
              <w:rPr>
                <w:rFonts w:asciiTheme="majorHAnsi" w:hAnsiTheme="majorHAnsi" w:cstheme="majorHAnsi"/>
              </w:rPr>
            </w:pPr>
            <w:r>
              <w:rPr>
                <w:rFonts w:asciiTheme="majorHAnsi" w:hAnsiTheme="majorHAnsi"/>
              </w:rPr>
              <w:t>Delet dhe dhitë</w:t>
            </w:r>
          </w:p>
        </w:tc>
        <w:tc>
          <w:tcPr>
            <w:tcW w:w="0" w:type="auto"/>
            <w:vAlign w:val="center"/>
            <w:hideMark/>
          </w:tcPr>
          <w:p w14:paraId="34C64028"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29" w14:textId="77777777" w:rsidR="00DD7ED4" w:rsidRPr="00FC75AC" w:rsidRDefault="00DD7ED4" w:rsidP="00511125">
            <w:pPr>
              <w:pStyle w:val="BodyText"/>
              <w:jc w:val="center"/>
              <w:rPr>
                <w:rFonts w:asciiTheme="majorHAnsi" w:hAnsiTheme="majorHAnsi" w:cstheme="majorHAnsi"/>
              </w:rPr>
            </w:pPr>
            <w:r>
              <w:rPr>
                <w:rFonts w:asciiTheme="majorHAnsi" w:hAnsiTheme="majorHAnsi"/>
              </w:rPr>
              <w:t>I ulët – Mesatar</w:t>
            </w:r>
          </w:p>
        </w:tc>
      </w:tr>
    </w:tbl>
    <w:p w14:paraId="521E7821" w14:textId="77777777" w:rsidR="003845FA" w:rsidRDefault="003845FA" w:rsidP="00DD7ED4">
      <w:pPr>
        <w:pStyle w:val="Heading2"/>
        <w:spacing w:before="120"/>
        <w:rPr>
          <w:rFonts w:asciiTheme="majorHAnsi" w:hAnsiTheme="majorHAnsi"/>
        </w:rPr>
      </w:pPr>
    </w:p>
    <w:p w14:paraId="4E097CF4" w14:textId="1DE5AE88" w:rsidR="003845FA" w:rsidRPr="002F3D86" w:rsidRDefault="003845FA" w:rsidP="002F3D86">
      <w:pPr>
        <w:pStyle w:val="Heading2"/>
        <w:rPr>
          <w:rFonts w:asciiTheme="majorHAnsi" w:hAnsiTheme="majorHAnsi" w:cstheme="majorHAnsi"/>
        </w:rPr>
      </w:pPr>
      <w:bookmarkStart w:id="54" w:name="_Toc216778876"/>
      <w:r w:rsidRPr="002F3D86">
        <w:rPr>
          <w:rFonts w:asciiTheme="majorHAnsi" w:hAnsiTheme="majorHAnsi" w:cstheme="majorHAnsi"/>
        </w:rPr>
        <w:t xml:space="preserve">5.3.2. Rreziqet, </w:t>
      </w:r>
      <w:r w:rsidR="00DF05F7">
        <w:rPr>
          <w:rFonts w:asciiTheme="majorHAnsi" w:hAnsiTheme="majorHAnsi" w:cstheme="majorHAnsi"/>
        </w:rPr>
        <w:t>n</w:t>
      </w:r>
      <w:r w:rsidRPr="002F3D86">
        <w:rPr>
          <w:rFonts w:asciiTheme="majorHAnsi" w:hAnsiTheme="majorHAnsi" w:cstheme="majorHAnsi"/>
        </w:rPr>
        <w:t xml:space="preserve">dikimet dhe </w:t>
      </w:r>
      <w:r w:rsidR="00DF05F7">
        <w:rPr>
          <w:rFonts w:asciiTheme="majorHAnsi" w:hAnsiTheme="majorHAnsi" w:cstheme="majorHAnsi"/>
        </w:rPr>
        <w:t>c</w:t>
      </w:r>
      <w:r w:rsidRPr="002F3D86">
        <w:rPr>
          <w:rFonts w:asciiTheme="majorHAnsi" w:hAnsiTheme="majorHAnsi" w:cstheme="majorHAnsi"/>
        </w:rPr>
        <w:t xml:space="preserve">enueshmëria </w:t>
      </w:r>
      <w:r w:rsidR="00DF05F7">
        <w:rPr>
          <w:rFonts w:asciiTheme="majorHAnsi" w:hAnsiTheme="majorHAnsi" w:cstheme="majorHAnsi"/>
        </w:rPr>
        <w:t xml:space="preserve">në sektorin </w:t>
      </w:r>
      <w:r w:rsidRPr="002F3D86">
        <w:rPr>
          <w:rFonts w:asciiTheme="majorHAnsi" w:hAnsiTheme="majorHAnsi" w:cstheme="majorHAnsi"/>
        </w:rPr>
        <w:t xml:space="preserve">e </w:t>
      </w:r>
      <w:r w:rsidRPr="002F3D86">
        <w:rPr>
          <w:rFonts w:asciiTheme="majorHAnsi" w:hAnsiTheme="majorHAnsi" w:cstheme="majorHAnsi"/>
        </w:rPr>
        <w:t>p</w:t>
      </w:r>
      <w:r w:rsidRPr="002F3D86">
        <w:rPr>
          <w:rFonts w:asciiTheme="majorHAnsi" w:hAnsiTheme="majorHAnsi" w:cstheme="majorHAnsi"/>
        </w:rPr>
        <w:t xml:space="preserve">ylltarisë dhe </w:t>
      </w:r>
      <w:r w:rsidRPr="002F3D86">
        <w:rPr>
          <w:rFonts w:asciiTheme="majorHAnsi" w:hAnsiTheme="majorHAnsi" w:cstheme="majorHAnsi"/>
        </w:rPr>
        <w:t>k</w:t>
      </w:r>
      <w:r w:rsidRPr="002F3D86">
        <w:rPr>
          <w:rFonts w:asciiTheme="majorHAnsi" w:hAnsiTheme="majorHAnsi" w:cstheme="majorHAnsi"/>
        </w:rPr>
        <w:t>ullotave</w:t>
      </w:r>
      <w:bookmarkEnd w:id="54"/>
      <w:r w:rsidRPr="002F3D86">
        <w:rPr>
          <w:rFonts w:asciiTheme="majorHAnsi" w:hAnsiTheme="majorHAnsi" w:cstheme="majorHAnsi"/>
        </w:rPr>
        <w:t xml:space="preserve"> </w:t>
      </w:r>
    </w:p>
    <w:p w14:paraId="30DF8CCB" w14:textId="77777777" w:rsidR="003845FA" w:rsidRPr="002F3D86" w:rsidRDefault="003845FA" w:rsidP="003845FA">
      <w:pPr>
        <w:pStyle w:val="BodyText"/>
        <w:jc w:val="both"/>
        <w:rPr>
          <w:rFonts w:asciiTheme="majorHAnsi" w:hAnsiTheme="majorHAnsi" w:cstheme="majorHAnsi"/>
        </w:rPr>
      </w:pPr>
      <w:r w:rsidRPr="002F3D86">
        <w:rPr>
          <w:rFonts w:asciiTheme="majorHAnsi" w:hAnsiTheme="majorHAnsi" w:cstheme="majorHAnsi"/>
        </w:rPr>
        <w:t xml:space="preserve">Rreziqet kryesore të përbashkëta dhe specifike përfshijnë: </w:t>
      </w:r>
    </w:p>
    <w:p w14:paraId="736B1C6E" w14:textId="77777777" w:rsidR="003845FA" w:rsidRPr="002F3D86" w:rsidRDefault="003845FA" w:rsidP="003845FA">
      <w:pPr>
        <w:pStyle w:val="BodyText"/>
        <w:numPr>
          <w:ilvl w:val="0"/>
          <w:numId w:val="6"/>
        </w:numPr>
        <w:spacing w:after="0"/>
        <w:jc w:val="both"/>
        <w:rPr>
          <w:rFonts w:asciiTheme="majorHAnsi" w:hAnsiTheme="majorHAnsi" w:cstheme="majorHAnsi"/>
        </w:rPr>
      </w:pPr>
      <w:r w:rsidRPr="002F3D86">
        <w:rPr>
          <w:rFonts w:asciiTheme="majorHAnsi" w:hAnsiTheme="majorHAnsi" w:cstheme="majorHAnsi"/>
        </w:rPr>
        <w:t xml:space="preserve">Frekuencë dhe intensitet më të lartë të zjarreve në pyje dhe rrezikut të zjarreve në kullota për shkak të thatësirave të zgjatura dhe valëve të nxehtësisë </w:t>
      </w:r>
    </w:p>
    <w:p w14:paraId="038B745A" w14:textId="55CFB6D8" w:rsidR="003845FA" w:rsidRPr="002F3D86" w:rsidRDefault="003845FA" w:rsidP="003845FA">
      <w:pPr>
        <w:pStyle w:val="BodyText"/>
        <w:numPr>
          <w:ilvl w:val="0"/>
          <w:numId w:val="6"/>
        </w:numPr>
        <w:spacing w:after="0"/>
        <w:jc w:val="both"/>
        <w:rPr>
          <w:rFonts w:asciiTheme="majorHAnsi" w:hAnsiTheme="majorHAnsi" w:cstheme="majorHAnsi"/>
        </w:rPr>
      </w:pPr>
      <w:r w:rsidRPr="002F3D86">
        <w:rPr>
          <w:rFonts w:asciiTheme="majorHAnsi" w:hAnsiTheme="majorHAnsi" w:cstheme="majorHAnsi"/>
        </w:rPr>
        <w:t xml:space="preserve">Prodhim </w:t>
      </w:r>
      <w:r w:rsidRPr="002F3D86">
        <w:rPr>
          <w:rFonts w:asciiTheme="majorHAnsi" w:hAnsiTheme="majorHAnsi" w:cstheme="majorHAnsi"/>
        </w:rPr>
        <w:t xml:space="preserve">i </w:t>
      </w:r>
      <w:r w:rsidRPr="002F3D86">
        <w:rPr>
          <w:rFonts w:asciiTheme="majorHAnsi" w:hAnsiTheme="majorHAnsi" w:cstheme="majorHAnsi"/>
        </w:rPr>
        <w:t xml:space="preserve">reduktuar </w:t>
      </w:r>
      <w:r w:rsidRPr="002F3D86">
        <w:rPr>
          <w:rFonts w:asciiTheme="majorHAnsi" w:hAnsiTheme="majorHAnsi" w:cstheme="majorHAnsi"/>
        </w:rPr>
        <w:t xml:space="preserve">i </w:t>
      </w:r>
      <w:r w:rsidRPr="002F3D86">
        <w:rPr>
          <w:rFonts w:asciiTheme="majorHAnsi" w:hAnsiTheme="majorHAnsi" w:cstheme="majorHAnsi"/>
        </w:rPr>
        <w:t xml:space="preserve">foragjereve dhe cilësi ushqyese në kullota, duke çuar në humbje të produktivitetit të bagëtive </w:t>
      </w:r>
    </w:p>
    <w:p w14:paraId="52D9AC33" w14:textId="77777777" w:rsidR="003845FA" w:rsidRPr="002F3D86" w:rsidRDefault="003845FA" w:rsidP="003845FA">
      <w:pPr>
        <w:pStyle w:val="BodyText"/>
        <w:numPr>
          <w:ilvl w:val="0"/>
          <w:numId w:val="6"/>
        </w:numPr>
        <w:spacing w:after="0"/>
        <w:jc w:val="both"/>
        <w:rPr>
          <w:rFonts w:asciiTheme="majorHAnsi" w:hAnsiTheme="majorHAnsi" w:cstheme="majorHAnsi"/>
        </w:rPr>
      </w:pPr>
      <w:r w:rsidRPr="002F3D86">
        <w:rPr>
          <w:rFonts w:asciiTheme="majorHAnsi" w:hAnsiTheme="majorHAnsi" w:cstheme="majorHAnsi"/>
        </w:rPr>
        <w:t xml:space="preserve">Shpërthime më të larta të dëmtuesve dhe sëmundjeve në pyje dhe zgjerim të specieve pushtuese si në pyje ashtu edhe në kullota </w:t>
      </w:r>
    </w:p>
    <w:p w14:paraId="5A3E79A1" w14:textId="77777777" w:rsidR="003845FA" w:rsidRPr="002F3D86" w:rsidRDefault="003845FA" w:rsidP="003845FA">
      <w:pPr>
        <w:pStyle w:val="BodyText"/>
        <w:numPr>
          <w:ilvl w:val="0"/>
          <w:numId w:val="6"/>
        </w:numPr>
        <w:spacing w:after="0"/>
        <w:jc w:val="both"/>
        <w:rPr>
          <w:rFonts w:asciiTheme="majorHAnsi" w:hAnsiTheme="majorHAnsi" w:cstheme="majorHAnsi"/>
        </w:rPr>
      </w:pPr>
      <w:r w:rsidRPr="002F3D86">
        <w:rPr>
          <w:rFonts w:asciiTheme="majorHAnsi" w:hAnsiTheme="majorHAnsi" w:cstheme="majorHAnsi"/>
        </w:rPr>
        <w:t xml:space="preserve">Erozion të tokës dhe rrëshqitje të dheut në shpatet e shpyllëzuara ose të mbikullotura, të përkeqësuara nga reshjet intensive </w:t>
      </w:r>
    </w:p>
    <w:p w14:paraId="1C1E10EE" w14:textId="7B02FB56" w:rsidR="003845FA" w:rsidRPr="002F3D86" w:rsidRDefault="003845FA" w:rsidP="003845FA">
      <w:pPr>
        <w:pStyle w:val="BodyText"/>
        <w:numPr>
          <w:ilvl w:val="0"/>
          <w:numId w:val="6"/>
        </w:numPr>
        <w:spacing w:after="0"/>
        <w:jc w:val="both"/>
        <w:rPr>
          <w:rFonts w:asciiTheme="majorHAnsi" w:hAnsiTheme="majorHAnsi" w:cstheme="majorHAnsi"/>
        </w:rPr>
      </w:pPr>
      <w:r w:rsidRPr="002F3D86">
        <w:rPr>
          <w:rFonts w:asciiTheme="majorHAnsi" w:hAnsiTheme="majorHAnsi" w:cstheme="majorHAnsi"/>
        </w:rPr>
        <w:t>Shkall</w:t>
      </w:r>
      <w:r w:rsidR="00C54316">
        <w:rPr>
          <w:rFonts w:asciiTheme="majorHAnsi" w:hAnsiTheme="majorHAnsi" w:cstheme="majorHAnsi"/>
        </w:rPr>
        <w:t>ë</w:t>
      </w:r>
      <w:r w:rsidRPr="002F3D86">
        <w:rPr>
          <w:rFonts w:asciiTheme="majorHAnsi" w:hAnsiTheme="majorHAnsi" w:cstheme="majorHAnsi"/>
        </w:rPr>
        <w:t xml:space="preserve"> </w:t>
      </w:r>
      <w:r w:rsidRPr="002F3D86">
        <w:rPr>
          <w:rFonts w:asciiTheme="majorHAnsi" w:hAnsiTheme="majorHAnsi" w:cstheme="majorHAnsi"/>
        </w:rPr>
        <w:t xml:space="preserve">të reduktuara të rritjes dhe tharje të specieve të pemëve dhe bimësisë së kullotave të ndjeshme ndaj thatësirës </w:t>
      </w:r>
    </w:p>
    <w:p w14:paraId="5F20802D" w14:textId="77777777" w:rsidR="003845FA" w:rsidRPr="002F3D86" w:rsidRDefault="003845FA" w:rsidP="003845FA">
      <w:pPr>
        <w:pStyle w:val="BodyText"/>
        <w:numPr>
          <w:ilvl w:val="0"/>
          <w:numId w:val="6"/>
        </w:numPr>
        <w:spacing w:after="0"/>
        <w:jc w:val="both"/>
        <w:rPr>
          <w:rFonts w:asciiTheme="majorHAnsi" w:hAnsiTheme="majorHAnsi" w:cstheme="majorHAnsi"/>
        </w:rPr>
      </w:pPr>
      <w:r w:rsidRPr="002F3D86">
        <w:rPr>
          <w:rFonts w:asciiTheme="majorHAnsi" w:hAnsiTheme="majorHAnsi" w:cstheme="majorHAnsi"/>
        </w:rPr>
        <w:t xml:space="preserve">Ndryshimi në përbërjen e specieve dhe humbja e pyjeve të lartësisë së madhe dhe kullotave alpine </w:t>
      </w:r>
    </w:p>
    <w:p w14:paraId="7FC5C3F1" w14:textId="577AC759" w:rsidR="003845FA" w:rsidRPr="002F3D86" w:rsidRDefault="003845FA" w:rsidP="003845FA">
      <w:pPr>
        <w:pStyle w:val="BodyText"/>
        <w:spacing w:after="0"/>
        <w:jc w:val="both"/>
        <w:rPr>
          <w:rFonts w:asciiTheme="majorHAnsi" w:hAnsiTheme="majorHAnsi" w:cstheme="majorHAnsi"/>
        </w:rPr>
      </w:pPr>
      <w:r w:rsidRPr="002F3D86">
        <w:rPr>
          <w:rFonts w:asciiTheme="majorHAnsi" w:hAnsiTheme="majorHAnsi" w:cstheme="majorHAnsi"/>
        </w:rPr>
        <w:t xml:space="preserve">Rreziku aktual është i moderuar në të lartë. Rreziku i ardhshëm </w:t>
      </w:r>
      <w:r w:rsidR="002F3D86" w:rsidRPr="002F3D86">
        <w:rPr>
          <w:rFonts w:asciiTheme="majorHAnsi" w:hAnsiTheme="majorHAnsi" w:cstheme="majorHAnsi"/>
        </w:rPr>
        <w:t>p</w:t>
      </w:r>
      <w:r w:rsidR="00C54316">
        <w:rPr>
          <w:rFonts w:asciiTheme="majorHAnsi" w:hAnsiTheme="majorHAnsi" w:cstheme="majorHAnsi"/>
        </w:rPr>
        <w:t>ë</w:t>
      </w:r>
      <w:r w:rsidR="002F3D86" w:rsidRPr="002F3D86">
        <w:rPr>
          <w:rFonts w:asciiTheme="majorHAnsi" w:hAnsiTheme="majorHAnsi" w:cstheme="majorHAnsi"/>
        </w:rPr>
        <w:t>rshkall</w:t>
      </w:r>
      <w:r w:rsidR="00C54316">
        <w:rPr>
          <w:rFonts w:asciiTheme="majorHAnsi" w:hAnsiTheme="majorHAnsi" w:cstheme="majorHAnsi"/>
        </w:rPr>
        <w:t>ë</w:t>
      </w:r>
      <w:r w:rsidR="002F3D86" w:rsidRPr="002F3D86">
        <w:rPr>
          <w:rFonts w:asciiTheme="majorHAnsi" w:hAnsiTheme="majorHAnsi" w:cstheme="majorHAnsi"/>
        </w:rPr>
        <w:t xml:space="preserve">zohet </w:t>
      </w:r>
      <w:r w:rsidRPr="002F3D86">
        <w:rPr>
          <w:rFonts w:asciiTheme="majorHAnsi" w:hAnsiTheme="majorHAnsi" w:cstheme="majorHAnsi"/>
        </w:rPr>
        <w:t xml:space="preserve">ndjeshëm në të lartë ose shumë të lartë </w:t>
      </w:r>
      <w:r w:rsidR="002F3D86" w:rsidRPr="002F3D86">
        <w:rPr>
          <w:rFonts w:asciiTheme="majorHAnsi" w:hAnsiTheme="majorHAnsi" w:cstheme="majorHAnsi"/>
        </w:rPr>
        <w:t>n</w:t>
      </w:r>
      <w:r w:rsidR="00C54316">
        <w:rPr>
          <w:rFonts w:asciiTheme="majorHAnsi" w:hAnsiTheme="majorHAnsi" w:cstheme="majorHAnsi"/>
        </w:rPr>
        <w:t>ë</w:t>
      </w:r>
      <w:r w:rsidR="002F3D86" w:rsidRPr="002F3D86">
        <w:rPr>
          <w:rFonts w:asciiTheme="majorHAnsi" w:hAnsiTheme="majorHAnsi" w:cstheme="majorHAnsi"/>
        </w:rPr>
        <w:t xml:space="preserve">n </w:t>
      </w:r>
      <w:r w:rsidRPr="002F3D86">
        <w:rPr>
          <w:rFonts w:asciiTheme="majorHAnsi" w:hAnsiTheme="majorHAnsi" w:cstheme="majorHAnsi"/>
        </w:rPr>
        <w:t>shumicë</w:t>
      </w:r>
      <w:r w:rsidR="002F3D86" w:rsidRPr="002F3D86">
        <w:rPr>
          <w:rFonts w:asciiTheme="majorHAnsi" w:hAnsiTheme="majorHAnsi" w:cstheme="majorHAnsi"/>
        </w:rPr>
        <w:t>n</w:t>
      </w:r>
      <w:r w:rsidRPr="002F3D86">
        <w:rPr>
          <w:rFonts w:asciiTheme="majorHAnsi" w:hAnsiTheme="majorHAnsi" w:cstheme="majorHAnsi"/>
        </w:rPr>
        <w:t xml:space="preserve"> </w:t>
      </w:r>
      <w:r w:rsidR="002F3D86" w:rsidRPr="002F3D86">
        <w:rPr>
          <w:rFonts w:asciiTheme="majorHAnsi" w:hAnsiTheme="majorHAnsi" w:cstheme="majorHAnsi"/>
        </w:rPr>
        <w:t>e</w:t>
      </w:r>
      <w:r w:rsidRPr="002F3D86">
        <w:rPr>
          <w:rFonts w:asciiTheme="majorHAnsi" w:hAnsiTheme="majorHAnsi" w:cstheme="majorHAnsi"/>
        </w:rPr>
        <w:t xml:space="preserve"> skenarëve, veçanërisht në zonat fushore, bregdetare dhe kodrinore. Sektori LULUCF (i cili përfshin pyjet dhe kullotat) aktualisht mbetet një burim neto i </w:t>
      </w:r>
      <w:r w:rsidR="002F3D86" w:rsidRPr="002F3D86">
        <w:rPr>
          <w:rFonts w:asciiTheme="majorHAnsi" w:hAnsiTheme="majorHAnsi" w:cstheme="majorHAnsi"/>
        </w:rPr>
        <w:t>shkarkimeve</w:t>
      </w:r>
      <w:r w:rsidRPr="002F3D86">
        <w:rPr>
          <w:rFonts w:asciiTheme="majorHAnsi" w:hAnsiTheme="majorHAnsi" w:cstheme="majorHAnsi"/>
        </w:rPr>
        <w:t xml:space="preserve">; </w:t>
      </w:r>
      <w:r w:rsidR="002F3D86" w:rsidRPr="002F3D86">
        <w:rPr>
          <w:rFonts w:asciiTheme="majorHAnsi" w:hAnsiTheme="majorHAnsi" w:cstheme="majorHAnsi"/>
        </w:rPr>
        <w:t>shkarkimet nga degradimi dhe zjarret parashikohet të rriten</w:t>
      </w:r>
      <w:r w:rsidR="002F3D86" w:rsidRPr="002F3D86">
        <w:rPr>
          <w:rFonts w:asciiTheme="majorHAnsi" w:hAnsiTheme="majorHAnsi" w:cstheme="majorHAnsi"/>
        </w:rPr>
        <w:t xml:space="preserve"> duke mos patur</w:t>
      </w:r>
      <w:r w:rsidRPr="002F3D86">
        <w:rPr>
          <w:rFonts w:asciiTheme="majorHAnsi" w:hAnsiTheme="majorHAnsi" w:cstheme="majorHAnsi"/>
        </w:rPr>
        <w:t xml:space="preserve"> menaxhim të qëndrueshëm </w:t>
      </w:r>
      <w:r w:rsidR="002F3D86" w:rsidRPr="002F3D86">
        <w:rPr>
          <w:rFonts w:asciiTheme="majorHAnsi" w:hAnsiTheme="majorHAnsi" w:cstheme="majorHAnsi"/>
        </w:rPr>
        <w:t xml:space="preserve">dhe </w:t>
      </w:r>
      <w:r w:rsidRPr="002F3D86">
        <w:rPr>
          <w:rFonts w:asciiTheme="majorHAnsi" w:hAnsiTheme="majorHAnsi" w:cstheme="majorHAnsi"/>
        </w:rPr>
        <w:t>të përmirësuar</w:t>
      </w:r>
      <w:r w:rsidR="002F3D86" w:rsidRPr="002F3D86">
        <w:rPr>
          <w:rFonts w:asciiTheme="majorHAnsi" w:hAnsiTheme="majorHAnsi" w:cstheme="majorHAnsi"/>
        </w:rPr>
        <w:t>.</w:t>
      </w:r>
      <w:r w:rsidRPr="002F3D86">
        <w:rPr>
          <w:rFonts w:asciiTheme="majorHAnsi" w:hAnsiTheme="majorHAnsi" w:cstheme="majorHAnsi"/>
        </w:rPr>
        <w:t xml:space="preserve"> Zjarret në shkallë të gjerë, megjithëse nuk modelohen drejtpërdrejt në parashikimet e </w:t>
      </w:r>
      <w:r w:rsidR="002F3D86" w:rsidRPr="002F3D86">
        <w:rPr>
          <w:rFonts w:asciiTheme="majorHAnsi" w:hAnsiTheme="majorHAnsi" w:cstheme="majorHAnsi"/>
        </w:rPr>
        <w:t>shkarkimeve</w:t>
      </w:r>
      <w:r w:rsidRPr="002F3D86">
        <w:rPr>
          <w:rFonts w:asciiTheme="majorHAnsi" w:hAnsiTheme="majorHAnsi" w:cstheme="majorHAnsi"/>
        </w:rPr>
        <w:t>, përfaqësojnë një kërcënim të madh në zhvillim.</w:t>
      </w:r>
    </w:p>
    <w:p w14:paraId="13F37D15" w14:textId="77777777" w:rsidR="003845FA" w:rsidRPr="002F3D86" w:rsidRDefault="003845FA" w:rsidP="00DD7ED4">
      <w:pPr>
        <w:pStyle w:val="Heading2"/>
        <w:spacing w:before="120"/>
        <w:rPr>
          <w:rFonts w:asciiTheme="majorHAnsi" w:hAnsiTheme="majorHAnsi"/>
          <w:color w:val="auto"/>
        </w:rPr>
      </w:pPr>
    </w:p>
    <w:p w14:paraId="7931667B" w14:textId="77777777" w:rsidR="003845FA" w:rsidRDefault="003845FA" w:rsidP="00DD7ED4">
      <w:pPr>
        <w:pStyle w:val="Heading2"/>
        <w:spacing w:before="120"/>
        <w:rPr>
          <w:rFonts w:asciiTheme="majorHAnsi" w:hAnsiTheme="majorHAnsi"/>
        </w:rPr>
      </w:pPr>
    </w:p>
    <w:p w14:paraId="56E0066C" w14:textId="77777777" w:rsidR="003845FA" w:rsidRDefault="003845FA" w:rsidP="00DD7ED4">
      <w:pPr>
        <w:pStyle w:val="Heading2"/>
        <w:spacing w:before="120"/>
        <w:rPr>
          <w:rFonts w:asciiTheme="majorHAnsi" w:hAnsiTheme="majorHAnsi"/>
        </w:rPr>
      </w:pPr>
    </w:p>
    <w:p w14:paraId="59B49505" w14:textId="77777777" w:rsidR="003845FA" w:rsidRDefault="003845FA" w:rsidP="00DD7ED4">
      <w:pPr>
        <w:pStyle w:val="Heading2"/>
        <w:spacing w:before="120"/>
        <w:rPr>
          <w:rFonts w:asciiTheme="majorHAnsi" w:hAnsiTheme="majorHAnsi"/>
        </w:rPr>
      </w:pPr>
    </w:p>
    <w:p w14:paraId="34C6402C" w14:textId="26FA80ED" w:rsidR="00DD7ED4" w:rsidRPr="00FC75AC" w:rsidRDefault="004A7844" w:rsidP="00DD7ED4">
      <w:pPr>
        <w:pStyle w:val="Heading2"/>
        <w:spacing w:before="120"/>
        <w:rPr>
          <w:rFonts w:asciiTheme="majorHAnsi" w:hAnsiTheme="majorHAnsi" w:cstheme="majorHAnsi"/>
        </w:rPr>
      </w:pPr>
      <w:bookmarkStart w:id="55" w:name="_Toc216778877"/>
      <w:r>
        <w:rPr>
          <w:rFonts w:asciiTheme="majorHAnsi" w:hAnsiTheme="majorHAnsi"/>
        </w:rPr>
        <w:lastRenderedPageBreak/>
        <w:t>5.3.</w:t>
      </w:r>
      <w:r w:rsidR="002F3D86">
        <w:rPr>
          <w:rFonts w:asciiTheme="majorHAnsi" w:hAnsiTheme="majorHAnsi"/>
        </w:rPr>
        <w:t>3</w:t>
      </w:r>
      <w:r>
        <w:rPr>
          <w:rFonts w:asciiTheme="majorHAnsi" w:hAnsiTheme="majorHAnsi"/>
        </w:rPr>
        <w:t>. Rreziqet, ndikimet dhe cenueshmëria në sektorin e turizmit</w:t>
      </w:r>
      <w:bookmarkEnd w:id="55"/>
    </w:p>
    <w:p w14:paraId="34C6402D" w14:textId="5239890C" w:rsidR="00DD7ED4" w:rsidRDefault="00DD7ED4" w:rsidP="00DD7ED4">
      <w:pPr>
        <w:pStyle w:val="BodyText"/>
        <w:jc w:val="both"/>
        <w:rPr>
          <w:rFonts w:asciiTheme="majorHAnsi" w:hAnsiTheme="majorHAnsi" w:cstheme="majorHAnsi"/>
        </w:rPr>
      </w:pPr>
      <w:r>
        <w:rPr>
          <w:rFonts w:asciiTheme="majorHAnsi" w:hAnsiTheme="majorHAnsi"/>
        </w:rPr>
        <w:t>Vlerësimet e rrezikut për sektorin e turizmit përshkallëzohen nga rreziqet aktuale në rreziqet e ardhshme, dhe madje në rastin e skenarit më të keq arrijnë deri në nivele alarmante. Sipas nënsektorëve, më i rrezikuari është turizmi ekologjik, ndërsa në rastin e skenarëve më të mirë, më pak të rrezikuara janë qytetet dhe arti dhe segmentet e trashëgimisë kulturore. Megjithatë, "më pak të rrezikuara" nuk do të thotë "jo të rrezikuara", pasi, për shembull, rritja e projektuar e nivelit të detit ka potencialin që të dëmtojë ndjeshëm plazhet dhe akomodimet turistike në bregdet (turizmi i diellit dhe detit), qytetet bregdetare (turizmi urban) dhe sitet e trashëgimisë kulturore në zonat bregdetare (turizmi kulturor). Disa dallime në vlerësimet e rrezikut mund të shpjegohen përmes mënyrës se si kanë përfituar nënsektorët nga zhvillimi i vazhdueshëm në Shqipëri dhe se si pritet të përfitojnë më tej nga zhvillimi i ardhshëm (Tabela 6).</w:t>
      </w:r>
    </w:p>
    <w:p w14:paraId="7DC4490C" w14:textId="77777777" w:rsidR="00B97607" w:rsidRDefault="00B97607" w:rsidP="00333C31">
      <w:pPr>
        <w:pStyle w:val="Caption"/>
        <w:rPr>
          <w:rFonts w:cstheme="majorHAnsi"/>
          <w:highlight w:val="yellow"/>
        </w:rPr>
      </w:pPr>
    </w:p>
    <w:p w14:paraId="434C02FD" w14:textId="15FA460C" w:rsidR="0038473A" w:rsidRDefault="0038473A" w:rsidP="0038473A">
      <w:pPr>
        <w:pStyle w:val="Caption"/>
        <w:keepNext/>
      </w:pPr>
      <w:bookmarkStart w:id="56" w:name="_Toc216778889"/>
      <w:r>
        <w:t xml:space="preserve">Tabela </w:t>
      </w:r>
      <w:r w:rsidR="00D0533E">
        <w:fldChar w:fldCharType="begin"/>
      </w:r>
      <w:r w:rsidR="00D0533E">
        <w:instrText xml:space="preserve"> SEQ Table \* ARABIC </w:instrText>
      </w:r>
      <w:r w:rsidR="00D0533E">
        <w:fldChar w:fldCharType="separate"/>
      </w:r>
      <w:r w:rsidR="00D0533E">
        <w:rPr>
          <w:noProof/>
        </w:rPr>
        <w:t>6</w:t>
      </w:r>
      <w:r w:rsidR="00D0533E">
        <w:rPr>
          <w:noProof/>
        </w:rPr>
        <w:fldChar w:fldCharType="end"/>
      </w:r>
      <w:r>
        <w:t>: Rreziqet, ndikimet dhe cenueshmëria në sektorin e turizmit</w:t>
      </w:r>
      <w:bookmarkEnd w:id="56"/>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5"/>
        <w:gridCol w:w="2986"/>
        <w:gridCol w:w="2918"/>
      </w:tblGrid>
      <w:tr w:rsidR="00DD7ED4" w:rsidRPr="00FC75AC" w14:paraId="34C64031" w14:textId="77777777" w:rsidTr="00333C31">
        <w:trPr>
          <w:tblHeader/>
          <w:tblCellSpacing w:w="15" w:type="dxa"/>
          <w:jc w:val="center"/>
        </w:trPr>
        <w:tc>
          <w:tcPr>
            <w:tcW w:w="0" w:type="auto"/>
            <w:vAlign w:val="center"/>
            <w:hideMark/>
          </w:tcPr>
          <w:p w14:paraId="34C6402E" w14:textId="59EF2A1D"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Nënsektorët e turizmit</w:t>
            </w:r>
          </w:p>
        </w:tc>
        <w:tc>
          <w:tcPr>
            <w:tcW w:w="0" w:type="auto"/>
            <w:vAlign w:val="center"/>
            <w:hideMark/>
          </w:tcPr>
          <w:p w14:paraId="34C6402F" w14:textId="2651880C"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Rreziku i përgjithshëm aktual</w:t>
            </w:r>
          </w:p>
        </w:tc>
        <w:tc>
          <w:tcPr>
            <w:tcW w:w="0" w:type="auto"/>
            <w:vAlign w:val="center"/>
            <w:hideMark/>
          </w:tcPr>
          <w:p w14:paraId="34C64030" w14:textId="43607FBD"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Rreziku i ardhshëm</w:t>
            </w:r>
            <w:r>
              <w:rPr>
                <w:rFonts w:asciiTheme="majorHAnsi" w:hAnsiTheme="majorHAnsi"/>
                <w:b/>
                <w:bCs/>
              </w:rPr>
              <w:br/>
              <w:t>(skenari më i mirë/më i keq)</w:t>
            </w:r>
          </w:p>
        </w:tc>
      </w:tr>
      <w:tr w:rsidR="00DD7ED4" w:rsidRPr="00FC75AC" w14:paraId="34C64035" w14:textId="77777777" w:rsidTr="00333C31">
        <w:trPr>
          <w:tblCellSpacing w:w="15" w:type="dxa"/>
          <w:jc w:val="center"/>
        </w:trPr>
        <w:tc>
          <w:tcPr>
            <w:tcW w:w="0" w:type="auto"/>
            <w:vAlign w:val="center"/>
            <w:hideMark/>
          </w:tcPr>
          <w:p w14:paraId="34C64032"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Dielli dhe deti</w:t>
            </w:r>
          </w:p>
        </w:tc>
        <w:tc>
          <w:tcPr>
            <w:tcW w:w="0" w:type="auto"/>
            <w:vAlign w:val="center"/>
            <w:hideMark/>
          </w:tcPr>
          <w:p w14:paraId="34C64033"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34"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lartë – Shumë i lartë</w:t>
            </w:r>
          </w:p>
        </w:tc>
      </w:tr>
      <w:tr w:rsidR="00DD7ED4" w:rsidRPr="00FC75AC" w14:paraId="34C64039" w14:textId="77777777" w:rsidTr="00333C31">
        <w:trPr>
          <w:tblCellSpacing w:w="15" w:type="dxa"/>
          <w:jc w:val="center"/>
        </w:trPr>
        <w:tc>
          <w:tcPr>
            <w:tcW w:w="0" w:type="auto"/>
            <w:vAlign w:val="center"/>
            <w:hideMark/>
          </w:tcPr>
          <w:p w14:paraId="34C64036"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Turizmi ekologjik</w:t>
            </w:r>
          </w:p>
        </w:tc>
        <w:tc>
          <w:tcPr>
            <w:tcW w:w="0" w:type="auto"/>
            <w:vAlign w:val="center"/>
            <w:hideMark/>
          </w:tcPr>
          <w:p w14:paraId="34C64037"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Mesatar</w:t>
            </w:r>
          </w:p>
        </w:tc>
        <w:tc>
          <w:tcPr>
            <w:tcW w:w="0" w:type="auto"/>
            <w:vAlign w:val="center"/>
            <w:hideMark/>
          </w:tcPr>
          <w:p w14:paraId="34C64038"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Shumë i lartë – Shumë i lartë</w:t>
            </w:r>
          </w:p>
        </w:tc>
      </w:tr>
      <w:tr w:rsidR="00DD7ED4" w:rsidRPr="00FC75AC" w14:paraId="34C6403D" w14:textId="77777777" w:rsidTr="00333C31">
        <w:trPr>
          <w:tblCellSpacing w:w="15" w:type="dxa"/>
          <w:jc w:val="center"/>
        </w:trPr>
        <w:tc>
          <w:tcPr>
            <w:tcW w:w="0" w:type="auto"/>
            <w:vAlign w:val="center"/>
            <w:hideMark/>
          </w:tcPr>
          <w:p w14:paraId="34C6403A"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Qytetet dhe arti</w:t>
            </w:r>
          </w:p>
        </w:tc>
        <w:tc>
          <w:tcPr>
            <w:tcW w:w="0" w:type="auto"/>
            <w:vAlign w:val="center"/>
            <w:hideMark/>
          </w:tcPr>
          <w:p w14:paraId="34C6403B"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3C"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Mesatar - I lartë</w:t>
            </w:r>
          </w:p>
        </w:tc>
      </w:tr>
      <w:tr w:rsidR="00DD7ED4" w:rsidRPr="00FC75AC" w14:paraId="34C64041" w14:textId="77777777" w:rsidTr="00333C31">
        <w:trPr>
          <w:tblCellSpacing w:w="15" w:type="dxa"/>
          <w:jc w:val="center"/>
        </w:trPr>
        <w:tc>
          <w:tcPr>
            <w:tcW w:w="0" w:type="auto"/>
            <w:vAlign w:val="center"/>
            <w:hideMark/>
          </w:tcPr>
          <w:p w14:paraId="34C6403E"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Trashëgimia kulturore</w:t>
            </w:r>
          </w:p>
        </w:tc>
        <w:tc>
          <w:tcPr>
            <w:tcW w:w="0" w:type="auto"/>
            <w:vAlign w:val="center"/>
            <w:hideMark/>
          </w:tcPr>
          <w:p w14:paraId="34C6403F"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Mesatar</w:t>
            </w:r>
          </w:p>
        </w:tc>
        <w:tc>
          <w:tcPr>
            <w:tcW w:w="0" w:type="auto"/>
            <w:vAlign w:val="center"/>
            <w:hideMark/>
          </w:tcPr>
          <w:p w14:paraId="34C64040"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 xml:space="preserve">Mesatar – Shumë i lartë </w:t>
            </w:r>
          </w:p>
        </w:tc>
      </w:tr>
    </w:tbl>
    <w:p w14:paraId="6C464348" w14:textId="77777777" w:rsidR="00BF2D62" w:rsidRDefault="00BF2D62" w:rsidP="00DD7ED4">
      <w:pPr>
        <w:pStyle w:val="BodyText"/>
        <w:jc w:val="both"/>
        <w:rPr>
          <w:rFonts w:asciiTheme="majorHAnsi" w:hAnsiTheme="majorHAnsi" w:cstheme="majorHAnsi"/>
        </w:rPr>
      </w:pPr>
    </w:p>
    <w:p w14:paraId="34C64043" w14:textId="2F724EE7" w:rsidR="00DD7ED4" w:rsidRPr="00FC75AC" w:rsidRDefault="004A7844" w:rsidP="00DD7ED4">
      <w:pPr>
        <w:pStyle w:val="Heading2"/>
        <w:spacing w:before="120"/>
        <w:rPr>
          <w:rFonts w:asciiTheme="majorHAnsi" w:hAnsiTheme="majorHAnsi" w:cstheme="majorHAnsi"/>
        </w:rPr>
      </w:pPr>
      <w:bookmarkStart w:id="57" w:name="_Toc216778878"/>
      <w:r>
        <w:rPr>
          <w:rFonts w:asciiTheme="majorHAnsi" w:hAnsiTheme="majorHAnsi"/>
        </w:rPr>
        <w:t>5.3.</w:t>
      </w:r>
      <w:r w:rsidR="002F3D86">
        <w:rPr>
          <w:rFonts w:asciiTheme="majorHAnsi" w:hAnsiTheme="majorHAnsi"/>
        </w:rPr>
        <w:t>4</w:t>
      </w:r>
      <w:r>
        <w:rPr>
          <w:rFonts w:asciiTheme="majorHAnsi" w:hAnsiTheme="majorHAnsi"/>
        </w:rPr>
        <w:t>. Rreziqet, ndikimet dhe cenueshmëria në sektorin e energjisë</w:t>
      </w:r>
      <w:bookmarkEnd w:id="57"/>
    </w:p>
    <w:p w14:paraId="34C64044" w14:textId="1FA72D91" w:rsidR="00DD7ED4" w:rsidRDefault="00DD7ED4" w:rsidP="00DD7ED4">
      <w:pPr>
        <w:pStyle w:val="BodyText"/>
        <w:jc w:val="both"/>
        <w:rPr>
          <w:rFonts w:asciiTheme="majorHAnsi" w:hAnsiTheme="majorHAnsi" w:cstheme="majorHAnsi"/>
        </w:rPr>
      </w:pPr>
      <w:r>
        <w:rPr>
          <w:rFonts w:asciiTheme="majorHAnsi" w:hAnsiTheme="majorHAnsi"/>
        </w:rPr>
        <w:t>Vlerësimet e rrezikut për energjinë përshkallëzohen nga rreziqet aktuale në rreziqet e ardhshme, duke arritur në nivele të konsiderueshme në rastin e skenarit më të keq. Ndonëse shqetësimet mbi rreziqet aktuale mund të jenë të ulëta e deri në mesatare, rreziqet e ardhshme janë alarmante, sidomos në skenarin më të keq, i cili lidhet fort me rënien e nivelit të disponueshmërisë së ujit. Më të rrezikuarit janë nënsektori i transmetimit dhe shpërndarjes, nënsektori i lëndëve drusore si lëndë djegëse dhe nënsektori i energjisë hidrike. Më pak i rrezikuari është nënsektori i energjisë eolike dhe diellore, ndonëse deri më tani ai përbën një përqindje shumë të vogël në prodhimin e energjisë (Tabela 7).</w:t>
      </w:r>
    </w:p>
    <w:p w14:paraId="14950C31" w14:textId="77777777" w:rsidR="0038473A" w:rsidRDefault="0038473A" w:rsidP="00DD7ED4">
      <w:pPr>
        <w:pStyle w:val="BodyText"/>
        <w:jc w:val="both"/>
        <w:rPr>
          <w:rFonts w:asciiTheme="majorHAnsi" w:hAnsiTheme="majorHAnsi" w:cstheme="majorHAnsi"/>
        </w:rPr>
      </w:pPr>
    </w:p>
    <w:p w14:paraId="58EC2D8D" w14:textId="7B9FB941" w:rsidR="0038473A" w:rsidRDefault="0038473A" w:rsidP="0038473A">
      <w:pPr>
        <w:pStyle w:val="Caption"/>
        <w:keepNext/>
      </w:pPr>
      <w:bookmarkStart w:id="58" w:name="_Toc216778890"/>
      <w:r>
        <w:t xml:space="preserve">Tabela </w:t>
      </w:r>
      <w:r w:rsidR="00D0533E">
        <w:fldChar w:fldCharType="begin"/>
      </w:r>
      <w:r w:rsidR="00D0533E">
        <w:instrText xml:space="preserve"> SEQ Table \* ARABIC </w:instrText>
      </w:r>
      <w:r w:rsidR="00D0533E">
        <w:fldChar w:fldCharType="separate"/>
      </w:r>
      <w:r w:rsidR="00D0533E">
        <w:rPr>
          <w:noProof/>
        </w:rPr>
        <w:t>7</w:t>
      </w:r>
      <w:r w:rsidR="00D0533E">
        <w:rPr>
          <w:noProof/>
        </w:rPr>
        <w:fldChar w:fldCharType="end"/>
      </w:r>
      <w:r>
        <w:t>: Rreziqet, ndikimet dhe cenueshmëria në sektorin e energjisë</w:t>
      </w:r>
      <w:bookmarkEnd w:id="58"/>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8"/>
        <w:gridCol w:w="2986"/>
        <w:gridCol w:w="2918"/>
      </w:tblGrid>
      <w:tr w:rsidR="00DD7ED4" w:rsidRPr="00FC75AC" w14:paraId="34C64048" w14:textId="77777777" w:rsidTr="00333C31">
        <w:trPr>
          <w:tblHeader/>
          <w:tblCellSpacing w:w="15" w:type="dxa"/>
          <w:jc w:val="center"/>
        </w:trPr>
        <w:tc>
          <w:tcPr>
            <w:tcW w:w="0" w:type="auto"/>
            <w:vAlign w:val="center"/>
            <w:hideMark/>
          </w:tcPr>
          <w:p w14:paraId="34C64045" w14:textId="12E656FF"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Nënsektorët e energjisë</w:t>
            </w:r>
          </w:p>
        </w:tc>
        <w:tc>
          <w:tcPr>
            <w:tcW w:w="0" w:type="auto"/>
            <w:vAlign w:val="center"/>
            <w:hideMark/>
          </w:tcPr>
          <w:p w14:paraId="34C64046" w14:textId="69DD17D0"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Rreziku i përgjithshëm aktual</w:t>
            </w:r>
          </w:p>
        </w:tc>
        <w:tc>
          <w:tcPr>
            <w:tcW w:w="0" w:type="auto"/>
            <w:vAlign w:val="center"/>
            <w:hideMark/>
          </w:tcPr>
          <w:p w14:paraId="34C64047" w14:textId="6C213342"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 xml:space="preserve">Rreziku i ardhshëm </w:t>
            </w:r>
            <w:r>
              <w:rPr>
                <w:rFonts w:asciiTheme="majorHAnsi" w:hAnsiTheme="majorHAnsi"/>
                <w:b/>
                <w:bCs/>
              </w:rPr>
              <w:br/>
              <w:t>(skenari më i mirë/më i keq)</w:t>
            </w:r>
          </w:p>
        </w:tc>
      </w:tr>
      <w:tr w:rsidR="00DD7ED4" w:rsidRPr="00FC75AC" w14:paraId="34C6404C" w14:textId="77777777" w:rsidTr="00333C31">
        <w:trPr>
          <w:tblCellSpacing w:w="15" w:type="dxa"/>
          <w:jc w:val="center"/>
        </w:trPr>
        <w:tc>
          <w:tcPr>
            <w:tcW w:w="0" w:type="auto"/>
            <w:vAlign w:val="center"/>
            <w:hideMark/>
          </w:tcPr>
          <w:p w14:paraId="34C64049"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Nafta, gazi dhe qymyri</w:t>
            </w:r>
          </w:p>
        </w:tc>
        <w:tc>
          <w:tcPr>
            <w:tcW w:w="0" w:type="auto"/>
            <w:vAlign w:val="center"/>
            <w:hideMark/>
          </w:tcPr>
          <w:p w14:paraId="34C6404A"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Shumë i ulët</w:t>
            </w:r>
          </w:p>
        </w:tc>
        <w:tc>
          <w:tcPr>
            <w:tcW w:w="0" w:type="auto"/>
            <w:vAlign w:val="center"/>
            <w:hideMark/>
          </w:tcPr>
          <w:p w14:paraId="34C6404B"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Mesatar – Shumë i lartë</w:t>
            </w:r>
          </w:p>
        </w:tc>
      </w:tr>
      <w:tr w:rsidR="00DD7ED4" w:rsidRPr="00FC75AC" w14:paraId="34C64050" w14:textId="77777777" w:rsidTr="00333C31">
        <w:trPr>
          <w:tblCellSpacing w:w="15" w:type="dxa"/>
          <w:jc w:val="center"/>
        </w:trPr>
        <w:tc>
          <w:tcPr>
            <w:tcW w:w="0" w:type="auto"/>
            <w:vAlign w:val="center"/>
            <w:hideMark/>
          </w:tcPr>
          <w:p w14:paraId="34C6404D"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Energjia hidrike</w:t>
            </w:r>
          </w:p>
        </w:tc>
        <w:tc>
          <w:tcPr>
            <w:tcW w:w="0" w:type="auto"/>
            <w:vAlign w:val="center"/>
            <w:hideMark/>
          </w:tcPr>
          <w:p w14:paraId="34C6404E"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4F"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Mesatar – Shumë i lartë</w:t>
            </w:r>
          </w:p>
        </w:tc>
      </w:tr>
      <w:tr w:rsidR="00DD7ED4" w:rsidRPr="00FC75AC" w14:paraId="34C64054" w14:textId="77777777" w:rsidTr="00333C31">
        <w:trPr>
          <w:tblCellSpacing w:w="15" w:type="dxa"/>
          <w:jc w:val="center"/>
        </w:trPr>
        <w:tc>
          <w:tcPr>
            <w:tcW w:w="0" w:type="auto"/>
            <w:vAlign w:val="center"/>
            <w:hideMark/>
          </w:tcPr>
          <w:p w14:paraId="34C64051"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Lëndët drusore si lëndë djegëse</w:t>
            </w:r>
          </w:p>
        </w:tc>
        <w:tc>
          <w:tcPr>
            <w:tcW w:w="0" w:type="auto"/>
            <w:vAlign w:val="center"/>
            <w:hideMark/>
          </w:tcPr>
          <w:p w14:paraId="34C64052"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53"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Mesatar – Shumë i lartë</w:t>
            </w:r>
          </w:p>
        </w:tc>
      </w:tr>
      <w:tr w:rsidR="00DD7ED4" w:rsidRPr="00FC75AC" w14:paraId="34C64058" w14:textId="77777777" w:rsidTr="00333C31">
        <w:trPr>
          <w:tblCellSpacing w:w="15" w:type="dxa"/>
          <w:jc w:val="center"/>
        </w:trPr>
        <w:tc>
          <w:tcPr>
            <w:tcW w:w="0" w:type="auto"/>
            <w:vAlign w:val="center"/>
            <w:hideMark/>
          </w:tcPr>
          <w:p w14:paraId="34C64055"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lastRenderedPageBreak/>
              <w:t>Energjia eolike dhe diellore</w:t>
            </w:r>
          </w:p>
        </w:tc>
        <w:tc>
          <w:tcPr>
            <w:tcW w:w="0" w:type="auto"/>
            <w:vAlign w:val="center"/>
            <w:hideMark/>
          </w:tcPr>
          <w:p w14:paraId="34C64056"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Shumë i ulët</w:t>
            </w:r>
          </w:p>
        </w:tc>
        <w:tc>
          <w:tcPr>
            <w:tcW w:w="0" w:type="auto"/>
            <w:vAlign w:val="center"/>
            <w:hideMark/>
          </w:tcPr>
          <w:p w14:paraId="34C64057"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 - Mesatar</w:t>
            </w:r>
          </w:p>
        </w:tc>
      </w:tr>
      <w:tr w:rsidR="00DD7ED4" w:rsidRPr="00FC75AC" w14:paraId="34C6405C" w14:textId="77777777" w:rsidTr="00333C31">
        <w:trPr>
          <w:tblCellSpacing w:w="15" w:type="dxa"/>
          <w:jc w:val="center"/>
        </w:trPr>
        <w:tc>
          <w:tcPr>
            <w:tcW w:w="0" w:type="auto"/>
            <w:vAlign w:val="center"/>
            <w:hideMark/>
          </w:tcPr>
          <w:p w14:paraId="34C64059"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Transmetimi dhe shpërndarja</w:t>
            </w:r>
          </w:p>
        </w:tc>
        <w:tc>
          <w:tcPr>
            <w:tcW w:w="0" w:type="auto"/>
            <w:vAlign w:val="center"/>
            <w:hideMark/>
          </w:tcPr>
          <w:p w14:paraId="34C6405A"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Mesatar</w:t>
            </w:r>
          </w:p>
        </w:tc>
        <w:tc>
          <w:tcPr>
            <w:tcW w:w="0" w:type="auto"/>
            <w:vAlign w:val="center"/>
            <w:hideMark/>
          </w:tcPr>
          <w:p w14:paraId="34C6405B"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Mesatar – Shumë i lartë</w:t>
            </w:r>
          </w:p>
        </w:tc>
      </w:tr>
    </w:tbl>
    <w:p w14:paraId="34C6405E" w14:textId="5BA6F152" w:rsidR="00DD7ED4" w:rsidRPr="00FC75AC" w:rsidRDefault="004A7844" w:rsidP="00DD7ED4">
      <w:pPr>
        <w:pStyle w:val="Heading2"/>
        <w:spacing w:before="120"/>
        <w:rPr>
          <w:rFonts w:asciiTheme="majorHAnsi" w:hAnsiTheme="majorHAnsi" w:cstheme="majorHAnsi"/>
        </w:rPr>
      </w:pPr>
      <w:bookmarkStart w:id="59" w:name="_Toc216778879"/>
      <w:r>
        <w:rPr>
          <w:rFonts w:asciiTheme="majorHAnsi" w:hAnsiTheme="majorHAnsi"/>
        </w:rPr>
        <w:t>5.3.</w:t>
      </w:r>
      <w:r w:rsidR="002F3D86">
        <w:rPr>
          <w:rFonts w:asciiTheme="majorHAnsi" w:hAnsiTheme="majorHAnsi"/>
        </w:rPr>
        <w:t>5</w:t>
      </w:r>
      <w:r>
        <w:rPr>
          <w:rFonts w:asciiTheme="majorHAnsi" w:hAnsiTheme="majorHAnsi"/>
        </w:rPr>
        <w:t>. Rreziqet, ndikimet dhe cenueshmëria në sektorin e transportit</w:t>
      </w:r>
      <w:bookmarkEnd w:id="59"/>
    </w:p>
    <w:p w14:paraId="34C6405F" w14:textId="375FD8D7" w:rsidR="00DD7ED4" w:rsidRDefault="00DD7ED4" w:rsidP="00DD7ED4">
      <w:pPr>
        <w:pStyle w:val="BodyText"/>
        <w:jc w:val="both"/>
        <w:rPr>
          <w:rFonts w:asciiTheme="majorHAnsi" w:hAnsiTheme="majorHAnsi" w:cstheme="majorHAnsi"/>
        </w:rPr>
      </w:pPr>
      <w:r>
        <w:rPr>
          <w:rFonts w:asciiTheme="majorHAnsi" w:hAnsiTheme="majorHAnsi"/>
        </w:rPr>
        <w:t>Vlerësimet e rrezikut për transportin përshkallëzohen nga rreziqet aktuale në rreziqet e ardhshme, duke arritur deri në nivele të konsiderueshme në rastin e skenarit më të keq, dhe madje disa rreziqe kategorizohen si alarmante. Një faktor i rëndësishëm që rezultoi në vlerësime rreziku shumë të larta në skenarin më të keq është rritja e projektuar e reshjeve intensive dhe dëmet që ato mund të sjellin në nënsektorët e transportit (sidomos në transportin rrugor dhe hekurudhor) përmes erozionit, përmbytjeve dhe rrëshqitjeve të dheut. Përveç reshjeve intensive, temperatura mesatare vjetore dhe nxehtësia ekstreme vlerësohet se ndikojnë kryesisht te nënsektorët e transportit hekurudhor dhe transportit detar, ndërsa rritja e projektuar e nivelit të detit ndikon kryesisht në nënsektorin e transportit detar. Sipas nënsektorëve, transporti rrugor, transporti hekurudhor dhe transporti detar janë më të rrezikuarit, ndërsa nënsektori i transportit ajror është më pak i rrezikuari. Megjithatë, nënsektori i transportit hekurudhor përbën një përqindje shumë të vogël të transportit të përgjithshëm (Tabela 8).</w:t>
      </w:r>
    </w:p>
    <w:p w14:paraId="1751A18E" w14:textId="77777777" w:rsidR="00BF2D62" w:rsidRDefault="00BF2D62" w:rsidP="00DD7ED4">
      <w:pPr>
        <w:pStyle w:val="BodyText"/>
        <w:jc w:val="both"/>
        <w:rPr>
          <w:rFonts w:asciiTheme="majorHAnsi" w:hAnsiTheme="majorHAnsi" w:cstheme="majorHAnsi"/>
        </w:rPr>
      </w:pPr>
    </w:p>
    <w:p w14:paraId="55F65570" w14:textId="7B35C8C5" w:rsidR="00E1487E" w:rsidRDefault="00E1487E" w:rsidP="00E1487E">
      <w:pPr>
        <w:pStyle w:val="Caption"/>
        <w:keepNext/>
      </w:pPr>
      <w:bookmarkStart w:id="60" w:name="_Toc216778891"/>
      <w:r>
        <w:t xml:space="preserve">Tabela </w:t>
      </w:r>
      <w:r w:rsidR="00D0533E">
        <w:fldChar w:fldCharType="begin"/>
      </w:r>
      <w:r w:rsidR="00D0533E">
        <w:instrText xml:space="preserve"> SEQ Table \* ARABIC </w:instrText>
      </w:r>
      <w:r w:rsidR="00D0533E">
        <w:fldChar w:fldCharType="separate"/>
      </w:r>
      <w:r w:rsidR="00D0533E">
        <w:rPr>
          <w:noProof/>
        </w:rPr>
        <w:t>8</w:t>
      </w:r>
      <w:r w:rsidR="00D0533E">
        <w:rPr>
          <w:noProof/>
        </w:rPr>
        <w:fldChar w:fldCharType="end"/>
      </w:r>
      <w:r>
        <w:t>: Rreziqet, ndikimet dhe cenueshmëria në sektorin e transportit</w:t>
      </w:r>
      <w:bookmarkEnd w:id="60"/>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6"/>
        <w:gridCol w:w="2986"/>
        <w:gridCol w:w="2918"/>
      </w:tblGrid>
      <w:tr w:rsidR="00DD7ED4" w:rsidRPr="00FC75AC" w14:paraId="34C64063" w14:textId="77777777" w:rsidTr="00333C31">
        <w:trPr>
          <w:tblHeader/>
          <w:tblCellSpacing w:w="15" w:type="dxa"/>
          <w:jc w:val="center"/>
        </w:trPr>
        <w:tc>
          <w:tcPr>
            <w:tcW w:w="0" w:type="auto"/>
            <w:vAlign w:val="center"/>
            <w:hideMark/>
          </w:tcPr>
          <w:p w14:paraId="34C64060" w14:textId="2A1BE433"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Nënsektorët e transportit</w:t>
            </w:r>
          </w:p>
        </w:tc>
        <w:tc>
          <w:tcPr>
            <w:tcW w:w="0" w:type="auto"/>
            <w:vAlign w:val="center"/>
            <w:hideMark/>
          </w:tcPr>
          <w:p w14:paraId="34C64061" w14:textId="17A8DFB5"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Rreziku i përgjithshëm aktual</w:t>
            </w:r>
          </w:p>
        </w:tc>
        <w:tc>
          <w:tcPr>
            <w:tcW w:w="0" w:type="auto"/>
            <w:vAlign w:val="center"/>
            <w:hideMark/>
          </w:tcPr>
          <w:p w14:paraId="34C64062" w14:textId="0A317D7F"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Rreziku i ardhshëm</w:t>
            </w:r>
            <w:r>
              <w:rPr>
                <w:rFonts w:asciiTheme="majorHAnsi" w:hAnsiTheme="majorHAnsi"/>
                <w:b/>
                <w:bCs/>
              </w:rPr>
              <w:br/>
              <w:t>(skenari më i mirë/më i keq)</w:t>
            </w:r>
          </w:p>
        </w:tc>
      </w:tr>
      <w:tr w:rsidR="00DD7ED4" w:rsidRPr="00FC75AC" w14:paraId="34C64067" w14:textId="77777777" w:rsidTr="00333C31">
        <w:trPr>
          <w:tblCellSpacing w:w="15" w:type="dxa"/>
          <w:jc w:val="center"/>
        </w:trPr>
        <w:tc>
          <w:tcPr>
            <w:tcW w:w="0" w:type="auto"/>
            <w:vAlign w:val="center"/>
            <w:hideMark/>
          </w:tcPr>
          <w:p w14:paraId="34C64064"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Transporti rrugor</w:t>
            </w:r>
          </w:p>
        </w:tc>
        <w:tc>
          <w:tcPr>
            <w:tcW w:w="0" w:type="auto"/>
            <w:vAlign w:val="center"/>
            <w:hideMark/>
          </w:tcPr>
          <w:p w14:paraId="34C64065"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66"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Mesatar – Shumë i lartë</w:t>
            </w:r>
          </w:p>
        </w:tc>
      </w:tr>
      <w:tr w:rsidR="00DD7ED4" w:rsidRPr="00FC75AC" w14:paraId="34C6406B" w14:textId="77777777" w:rsidTr="00333C31">
        <w:trPr>
          <w:tblCellSpacing w:w="15" w:type="dxa"/>
          <w:jc w:val="center"/>
        </w:trPr>
        <w:tc>
          <w:tcPr>
            <w:tcW w:w="0" w:type="auto"/>
            <w:vAlign w:val="center"/>
            <w:hideMark/>
          </w:tcPr>
          <w:p w14:paraId="34C64068"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Transporti hekurudhor</w:t>
            </w:r>
          </w:p>
        </w:tc>
        <w:tc>
          <w:tcPr>
            <w:tcW w:w="0" w:type="auto"/>
            <w:vAlign w:val="center"/>
            <w:hideMark/>
          </w:tcPr>
          <w:p w14:paraId="34C64069"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6A"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 – Shumë i lartë</w:t>
            </w:r>
          </w:p>
        </w:tc>
      </w:tr>
      <w:tr w:rsidR="00DD7ED4" w:rsidRPr="00FC75AC" w14:paraId="34C6406F" w14:textId="77777777" w:rsidTr="00333C31">
        <w:trPr>
          <w:tblCellSpacing w:w="15" w:type="dxa"/>
          <w:jc w:val="center"/>
        </w:trPr>
        <w:tc>
          <w:tcPr>
            <w:tcW w:w="0" w:type="auto"/>
            <w:vAlign w:val="center"/>
            <w:hideMark/>
          </w:tcPr>
          <w:p w14:paraId="34C6406C"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Transporti detar</w:t>
            </w:r>
          </w:p>
        </w:tc>
        <w:tc>
          <w:tcPr>
            <w:tcW w:w="0" w:type="auto"/>
            <w:vAlign w:val="center"/>
            <w:hideMark/>
          </w:tcPr>
          <w:p w14:paraId="34C6406D"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Shumë i ulët</w:t>
            </w:r>
          </w:p>
        </w:tc>
        <w:tc>
          <w:tcPr>
            <w:tcW w:w="0" w:type="auto"/>
            <w:vAlign w:val="center"/>
            <w:hideMark/>
          </w:tcPr>
          <w:p w14:paraId="34C6406E"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Mesatar – Shumë i lartë</w:t>
            </w:r>
          </w:p>
        </w:tc>
      </w:tr>
      <w:tr w:rsidR="00DD7ED4" w:rsidRPr="00FC75AC" w14:paraId="34C64073" w14:textId="77777777" w:rsidTr="00333C31">
        <w:trPr>
          <w:tblCellSpacing w:w="15" w:type="dxa"/>
          <w:jc w:val="center"/>
        </w:trPr>
        <w:tc>
          <w:tcPr>
            <w:tcW w:w="0" w:type="auto"/>
            <w:vAlign w:val="center"/>
            <w:hideMark/>
          </w:tcPr>
          <w:p w14:paraId="34C64070"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Transporti ajror</w:t>
            </w:r>
          </w:p>
        </w:tc>
        <w:tc>
          <w:tcPr>
            <w:tcW w:w="0" w:type="auto"/>
            <w:vAlign w:val="center"/>
            <w:hideMark/>
          </w:tcPr>
          <w:p w14:paraId="34C64071"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Shumë i ulët</w:t>
            </w:r>
          </w:p>
        </w:tc>
        <w:tc>
          <w:tcPr>
            <w:tcW w:w="0" w:type="auto"/>
            <w:vAlign w:val="center"/>
            <w:hideMark/>
          </w:tcPr>
          <w:p w14:paraId="34C64072"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 - Mesatar</w:t>
            </w:r>
          </w:p>
        </w:tc>
      </w:tr>
    </w:tbl>
    <w:p w14:paraId="2C00B03F" w14:textId="77777777" w:rsidR="00BF2D62" w:rsidRDefault="00BF2D62" w:rsidP="00DD7ED4">
      <w:pPr>
        <w:pStyle w:val="BodyText"/>
        <w:jc w:val="both"/>
        <w:rPr>
          <w:rFonts w:asciiTheme="majorHAnsi" w:hAnsiTheme="majorHAnsi" w:cstheme="majorHAnsi"/>
        </w:rPr>
      </w:pPr>
    </w:p>
    <w:p w14:paraId="34C64075" w14:textId="37C2F0C2" w:rsidR="00DD7ED4" w:rsidRPr="00FC75AC" w:rsidRDefault="004A7844" w:rsidP="00DD7ED4">
      <w:pPr>
        <w:pStyle w:val="Heading2"/>
        <w:spacing w:before="120"/>
        <w:rPr>
          <w:rFonts w:asciiTheme="majorHAnsi" w:hAnsiTheme="majorHAnsi" w:cstheme="majorHAnsi"/>
        </w:rPr>
      </w:pPr>
      <w:bookmarkStart w:id="61" w:name="_Toc216778880"/>
      <w:r>
        <w:rPr>
          <w:rFonts w:asciiTheme="majorHAnsi" w:hAnsiTheme="majorHAnsi"/>
        </w:rPr>
        <w:t>5.3.</w:t>
      </w:r>
      <w:r w:rsidR="002F3D86">
        <w:rPr>
          <w:rFonts w:asciiTheme="majorHAnsi" w:hAnsiTheme="majorHAnsi"/>
        </w:rPr>
        <w:t>6</w:t>
      </w:r>
      <w:r>
        <w:rPr>
          <w:rFonts w:asciiTheme="majorHAnsi" w:hAnsiTheme="majorHAnsi"/>
        </w:rPr>
        <w:t>. Rreziqet, ndikimet dhe cenueshmëria në sektorin e zhvillimit urban</w:t>
      </w:r>
      <w:bookmarkEnd w:id="61"/>
    </w:p>
    <w:p w14:paraId="34C64076" w14:textId="70748E79" w:rsidR="00DD7ED4" w:rsidRDefault="00DD7ED4" w:rsidP="00DD7ED4">
      <w:pPr>
        <w:pStyle w:val="BodyText"/>
        <w:jc w:val="both"/>
        <w:rPr>
          <w:rFonts w:asciiTheme="majorHAnsi" w:hAnsiTheme="majorHAnsi" w:cstheme="majorHAnsi"/>
        </w:rPr>
      </w:pPr>
      <w:r>
        <w:rPr>
          <w:rFonts w:asciiTheme="majorHAnsi" w:hAnsiTheme="majorHAnsi"/>
        </w:rPr>
        <w:t xml:space="preserve">Në të katër zonat klimatike urbane, parashikohet rritje e rreziqeve aktuale në të ardhmen. Pjesa më e madhe e rreziqeve kategorizohen si "Shumë të larta" si në skenarin më të mirë po ashtu edhe në skenarin më të keq. Në veçanti, qytetet më të populluara (Tirana, Durrësi, Vlora, Fieri, Shkodra, Elbasani) dhe zona më e urbanizuar e vendit (brezi bregdetar), kanë vlerësime të rrezikut të ardhshëm të kategorizuara si "Shumë të larta". Qytetet e tjera kanë rreziqe të ardhshme "Të larta" sipas skenarit më të mirë dhe "Shumë të larta" sipas skenarit më të keq. Për të gjithë nënsektorët urbanë (nënsektori rezidencial, social, i prodhimit dhe rrjeti i furnizimit), në të ardhmen projektohet një rritje e rreziqeve duke kaluar në kategorinë "Rreziqe shumë të larta". Në basenet e ekspozuara ndaj përmbytjeve, këtu përfshihen stacionet funksionale të </w:t>
      </w:r>
      <w:r>
        <w:rPr>
          <w:rFonts w:asciiTheme="majorHAnsi" w:hAnsiTheme="majorHAnsi"/>
        </w:rPr>
        <w:lastRenderedPageBreak/>
        <w:t>paralajmërimit të hershëm, informimi i komunitetit dhe planet bashkiake të evakuimit që lidhen me restaurimin e shtratit të lumenjve dhe fushave aluvionale. (Tabela 9).</w:t>
      </w:r>
    </w:p>
    <w:p w14:paraId="047B0AC8" w14:textId="01529CC9" w:rsidR="00E1487E" w:rsidRDefault="00E1487E" w:rsidP="00E1487E">
      <w:pPr>
        <w:pStyle w:val="Caption"/>
        <w:keepNext/>
      </w:pPr>
      <w:bookmarkStart w:id="62" w:name="_Hlk211853950"/>
      <w:bookmarkStart w:id="63" w:name="_Toc216778892"/>
      <w:r>
        <w:t xml:space="preserve">Tabela </w:t>
      </w:r>
      <w:r w:rsidR="00D0533E">
        <w:fldChar w:fldCharType="begin"/>
      </w:r>
      <w:r w:rsidR="00D0533E">
        <w:instrText xml:space="preserve"> SEQ Table \* ARABIC </w:instrText>
      </w:r>
      <w:r w:rsidR="00D0533E">
        <w:fldChar w:fldCharType="separate"/>
      </w:r>
      <w:r w:rsidR="00D0533E">
        <w:rPr>
          <w:noProof/>
        </w:rPr>
        <w:t>9</w:t>
      </w:r>
      <w:r w:rsidR="00D0533E">
        <w:rPr>
          <w:noProof/>
        </w:rPr>
        <w:fldChar w:fldCharType="end"/>
      </w:r>
      <w:r>
        <w:t>: Rreziqet, ndikimet dhe cenueshmëria në sektorin e zhvillimit urban</w:t>
      </w:r>
      <w:bookmarkEnd w:id="63"/>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4"/>
        <w:gridCol w:w="2986"/>
        <w:gridCol w:w="2918"/>
      </w:tblGrid>
      <w:tr w:rsidR="00DD7ED4" w:rsidRPr="00FC75AC" w14:paraId="34C6407A" w14:textId="77777777" w:rsidTr="00333C31">
        <w:trPr>
          <w:tblHeader/>
          <w:tblCellSpacing w:w="15" w:type="dxa"/>
          <w:jc w:val="center"/>
        </w:trPr>
        <w:tc>
          <w:tcPr>
            <w:tcW w:w="0" w:type="auto"/>
            <w:vAlign w:val="center"/>
            <w:hideMark/>
          </w:tcPr>
          <w:bookmarkEnd w:id="62"/>
          <w:p w14:paraId="34C64077" w14:textId="02907A0C"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Zonat klimatike urbane</w:t>
            </w:r>
            <w:r>
              <w:rPr>
                <w:rFonts w:asciiTheme="majorHAnsi" w:hAnsiTheme="majorHAnsi"/>
                <w:b/>
                <w:bCs/>
              </w:rPr>
              <w:br/>
              <w:t>dhe nënsektorët</w:t>
            </w:r>
          </w:p>
        </w:tc>
        <w:tc>
          <w:tcPr>
            <w:tcW w:w="0" w:type="auto"/>
            <w:vAlign w:val="center"/>
            <w:hideMark/>
          </w:tcPr>
          <w:p w14:paraId="34C64078" w14:textId="440C401B"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Rreziku i përgjithshëm aktual</w:t>
            </w:r>
          </w:p>
        </w:tc>
        <w:tc>
          <w:tcPr>
            <w:tcW w:w="0" w:type="auto"/>
            <w:vAlign w:val="center"/>
            <w:hideMark/>
          </w:tcPr>
          <w:p w14:paraId="34C64079" w14:textId="663D6BBA" w:rsidR="00DD7ED4" w:rsidRPr="00FC75AC" w:rsidRDefault="00333C31" w:rsidP="00333C31">
            <w:pPr>
              <w:pStyle w:val="BodyText"/>
              <w:jc w:val="center"/>
              <w:rPr>
                <w:rFonts w:asciiTheme="majorHAnsi" w:hAnsiTheme="majorHAnsi" w:cstheme="majorHAnsi"/>
                <w:b/>
                <w:bCs/>
              </w:rPr>
            </w:pPr>
            <w:r>
              <w:rPr>
                <w:rFonts w:asciiTheme="majorHAnsi" w:hAnsiTheme="majorHAnsi"/>
                <w:b/>
                <w:bCs/>
              </w:rPr>
              <w:t>Rreziku i ardhshëm</w:t>
            </w:r>
            <w:r>
              <w:rPr>
                <w:rFonts w:asciiTheme="majorHAnsi" w:hAnsiTheme="majorHAnsi"/>
                <w:b/>
                <w:bCs/>
              </w:rPr>
              <w:br/>
              <w:t>(skenari më i mirë/më i keq)</w:t>
            </w:r>
          </w:p>
        </w:tc>
      </w:tr>
      <w:tr w:rsidR="00DD7ED4" w:rsidRPr="00FC75AC" w14:paraId="34C6407E" w14:textId="77777777" w:rsidTr="00333C31">
        <w:trPr>
          <w:tblCellSpacing w:w="15" w:type="dxa"/>
          <w:jc w:val="center"/>
        </w:trPr>
        <w:tc>
          <w:tcPr>
            <w:tcW w:w="0" w:type="auto"/>
            <w:vAlign w:val="center"/>
            <w:hideMark/>
          </w:tcPr>
          <w:p w14:paraId="34C6407B"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ZONAT KLIMATIKE</w:t>
            </w:r>
          </w:p>
        </w:tc>
        <w:tc>
          <w:tcPr>
            <w:tcW w:w="0" w:type="auto"/>
            <w:vAlign w:val="center"/>
            <w:hideMark/>
          </w:tcPr>
          <w:p w14:paraId="34C6407C" w14:textId="77777777" w:rsidR="00DD7ED4" w:rsidRPr="00FC75AC" w:rsidRDefault="00DD7ED4" w:rsidP="00333C31">
            <w:pPr>
              <w:pStyle w:val="BodyText"/>
              <w:jc w:val="center"/>
              <w:rPr>
                <w:rFonts w:asciiTheme="majorHAnsi" w:hAnsiTheme="majorHAnsi" w:cstheme="majorHAnsi"/>
              </w:rPr>
            </w:pPr>
          </w:p>
        </w:tc>
        <w:tc>
          <w:tcPr>
            <w:tcW w:w="0" w:type="auto"/>
            <w:vAlign w:val="center"/>
            <w:hideMark/>
          </w:tcPr>
          <w:p w14:paraId="34C6407D" w14:textId="77777777" w:rsidR="00DD7ED4" w:rsidRPr="00FC75AC" w:rsidRDefault="00DD7ED4" w:rsidP="00333C31">
            <w:pPr>
              <w:pStyle w:val="BodyText"/>
              <w:jc w:val="center"/>
              <w:rPr>
                <w:rFonts w:asciiTheme="majorHAnsi" w:hAnsiTheme="majorHAnsi" w:cstheme="majorHAnsi"/>
              </w:rPr>
            </w:pPr>
          </w:p>
        </w:tc>
      </w:tr>
      <w:tr w:rsidR="00DD7ED4" w:rsidRPr="00FC75AC" w14:paraId="34C64082" w14:textId="77777777" w:rsidTr="00333C31">
        <w:trPr>
          <w:tblCellSpacing w:w="15" w:type="dxa"/>
          <w:jc w:val="center"/>
        </w:trPr>
        <w:tc>
          <w:tcPr>
            <w:tcW w:w="0" w:type="auto"/>
            <w:vAlign w:val="center"/>
            <w:hideMark/>
          </w:tcPr>
          <w:p w14:paraId="34C6407F" w14:textId="77777777" w:rsidR="00DD7ED4" w:rsidRPr="00FC75AC" w:rsidRDefault="00DD7ED4" w:rsidP="00333C31">
            <w:pPr>
              <w:pStyle w:val="BodyText"/>
              <w:jc w:val="right"/>
              <w:rPr>
                <w:rFonts w:asciiTheme="majorHAnsi" w:hAnsiTheme="majorHAnsi" w:cstheme="majorHAnsi"/>
              </w:rPr>
            </w:pPr>
            <w:r>
              <w:rPr>
                <w:rFonts w:asciiTheme="majorHAnsi" w:hAnsiTheme="majorHAnsi"/>
              </w:rPr>
              <w:t>ZMF</w:t>
            </w:r>
          </w:p>
        </w:tc>
        <w:tc>
          <w:tcPr>
            <w:tcW w:w="0" w:type="auto"/>
            <w:vAlign w:val="center"/>
            <w:hideMark/>
          </w:tcPr>
          <w:p w14:paraId="34C64080"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81"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Shumë i lartë - Shumë i lartë</w:t>
            </w:r>
          </w:p>
        </w:tc>
      </w:tr>
      <w:tr w:rsidR="00DD7ED4" w:rsidRPr="00FC75AC" w14:paraId="34C64086" w14:textId="77777777" w:rsidTr="00333C31">
        <w:trPr>
          <w:tblCellSpacing w:w="15" w:type="dxa"/>
          <w:jc w:val="center"/>
        </w:trPr>
        <w:tc>
          <w:tcPr>
            <w:tcW w:w="0" w:type="auto"/>
            <w:vAlign w:val="center"/>
            <w:hideMark/>
          </w:tcPr>
          <w:p w14:paraId="34C64083" w14:textId="77777777" w:rsidR="00DD7ED4" w:rsidRPr="00FC75AC" w:rsidRDefault="00DD7ED4" w:rsidP="00333C31">
            <w:pPr>
              <w:pStyle w:val="BodyText"/>
              <w:jc w:val="right"/>
              <w:rPr>
                <w:rFonts w:asciiTheme="majorHAnsi" w:hAnsiTheme="majorHAnsi" w:cstheme="majorHAnsi"/>
              </w:rPr>
            </w:pPr>
            <w:r>
              <w:rPr>
                <w:rFonts w:asciiTheme="majorHAnsi" w:hAnsiTheme="majorHAnsi"/>
              </w:rPr>
              <w:t>ZMK</w:t>
            </w:r>
          </w:p>
        </w:tc>
        <w:tc>
          <w:tcPr>
            <w:tcW w:w="0" w:type="auto"/>
            <w:vAlign w:val="center"/>
            <w:hideMark/>
          </w:tcPr>
          <w:p w14:paraId="34C64084"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85"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Shumë i lartë - Shumë i lartë</w:t>
            </w:r>
          </w:p>
        </w:tc>
      </w:tr>
      <w:tr w:rsidR="00DD7ED4" w:rsidRPr="00FC75AC" w14:paraId="34C6408A" w14:textId="77777777" w:rsidTr="00333C31">
        <w:trPr>
          <w:tblCellSpacing w:w="15" w:type="dxa"/>
          <w:jc w:val="center"/>
        </w:trPr>
        <w:tc>
          <w:tcPr>
            <w:tcW w:w="0" w:type="auto"/>
            <w:vAlign w:val="center"/>
            <w:hideMark/>
          </w:tcPr>
          <w:p w14:paraId="34C64087" w14:textId="77777777" w:rsidR="00DD7ED4" w:rsidRPr="00FC75AC" w:rsidRDefault="00DD7ED4" w:rsidP="00333C31">
            <w:pPr>
              <w:pStyle w:val="BodyText"/>
              <w:jc w:val="right"/>
              <w:rPr>
                <w:rFonts w:asciiTheme="majorHAnsi" w:hAnsiTheme="majorHAnsi" w:cstheme="majorHAnsi"/>
              </w:rPr>
            </w:pPr>
            <w:r>
              <w:rPr>
                <w:rFonts w:asciiTheme="majorHAnsi" w:hAnsiTheme="majorHAnsi"/>
              </w:rPr>
              <w:t>ZMPM</w:t>
            </w:r>
          </w:p>
        </w:tc>
        <w:tc>
          <w:tcPr>
            <w:tcW w:w="0" w:type="auto"/>
            <w:vAlign w:val="center"/>
            <w:hideMark/>
          </w:tcPr>
          <w:p w14:paraId="34C64088"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89"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lartë - Shumë i lartë</w:t>
            </w:r>
          </w:p>
        </w:tc>
      </w:tr>
      <w:tr w:rsidR="00DD7ED4" w:rsidRPr="00FC75AC" w14:paraId="34C6408E" w14:textId="77777777" w:rsidTr="00333C31">
        <w:trPr>
          <w:tblCellSpacing w:w="15" w:type="dxa"/>
          <w:jc w:val="center"/>
        </w:trPr>
        <w:tc>
          <w:tcPr>
            <w:tcW w:w="0" w:type="auto"/>
            <w:vAlign w:val="center"/>
            <w:hideMark/>
          </w:tcPr>
          <w:p w14:paraId="34C6408B" w14:textId="77777777" w:rsidR="00DD7ED4" w:rsidRPr="00FC75AC" w:rsidRDefault="00DD7ED4" w:rsidP="00333C31">
            <w:pPr>
              <w:pStyle w:val="BodyText"/>
              <w:jc w:val="right"/>
              <w:rPr>
                <w:rFonts w:asciiTheme="majorHAnsi" w:hAnsiTheme="majorHAnsi" w:cstheme="majorHAnsi"/>
              </w:rPr>
            </w:pPr>
            <w:r>
              <w:rPr>
                <w:rFonts w:asciiTheme="majorHAnsi" w:hAnsiTheme="majorHAnsi"/>
              </w:rPr>
              <w:t>ZMM</w:t>
            </w:r>
          </w:p>
        </w:tc>
        <w:tc>
          <w:tcPr>
            <w:tcW w:w="0" w:type="auto"/>
            <w:vAlign w:val="center"/>
            <w:hideMark/>
          </w:tcPr>
          <w:p w14:paraId="34C6408C"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8D"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lartë - Shumë i lartë</w:t>
            </w:r>
          </w:p>
        </w:tc>
      </w:tr>
      <w:tr w:rsidR="00DD7ED4" w:rsidRPr="00FC75AC" w14:paraId="34C64092" w14:textId="77777777" w:rsidTr="00333C31">
        <w:trPr>
          <w:tblCellSpacing w:w="15" w:type="dxa"/>
          <w:jc w:val="center"/>
        </w:trPr>
        <w:tc>
          <w:tcPr>
            <w:tcW w:w="0" w:type="auto"/>
            <w:vAlign w:val="center"/>
            <w:hideMark/>
          </w:tcPr>
          <w:p w14:paraId="34C6408F"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NËNSEKTORËT</w:t>
            </w:r>
          </w:p>
        </w:tc>
        <w:tc>
          <w:tcPr>
            <w:tcW w:w="0" w:type="auto"/>
            <w:vAlign w:val="center"/>
            <w:hideMark/>
          </w:tcPr>
          <w:p w14:paraId="34C64090" w14:textId="77777777" w:rsidR="00DD7ED4" w:rsidRPr="00FC75AC" w:rsidRDefault="00DD7ED4" w:rsidP="00333C31">
            <w:pPr>
              <w:pStyle w:val="BodyText"/>
              <w:jc w:val="center"/>
              <w:rPr>
                <w:rFonts w:asciiTheme="majorHAnsi" w:hAnsiTheme="majorHAnsi" w:cstheme="majorHAnsi"/>
              </w:rPr>
            </w:pPr>
          </w:p>
        </w:tc>
        <w:tc>
          <w:tcPr>
            <w:tcW w:w="0" w:type="auto"/>
            <w:vAlign w:val="center"/>
            <w:hideMark/>
          </w:tcPr>
          <w:p w14:paraId="34C64091" w14:textId="77777777" w:rsidR="00DD7ED4" w:rsidRPr="00FC75AC" w:rsidRDefault="00DD7ED4" w:rsidP="00333C31">
            <w:pPr>
              <w:pStyle w:val="BodyText"/>
              <w:jc w:val="center"/>
              <w:rPr>
                <w:rFonts w:asciiTheme="majorHAnsi" w:hAnsiTheme="majorHAnsi" w:cstheme="majorHAnsi"/>
              </w:rPr>
            </w:pPr>
          </w:p>
        </w:tc>
      </w:tr>
      <w:tr w:rsidR="00DD7ED4" w:rsidRPr="00FC75AC" w14:paraId="34C64096" w14:textId="77777777" w:rsidTr="00333C31">
        <w:trPr>
          <w:tblCellSpacing w:w="15" w:type="dxa"/>
          <w:jc w:val="center"/>
        </w:trPr>
        <w:tc>
          <w:tcPr>
            <w:tcW w:w="0" w:type="auto"/>
            <w:vAlign w:val="center"/>
            <w:hideMark/>
          </w:tcPr>
          <w:p w14:paraId="34C64093" w14:textId="77777777" w:rsidR="00DD7ED4" w:rsidRPr="00FC75AC" w:rsidRDefault="00DD7ED4" w:rsidP="00333C31">
            <w:pPr>
              <w:pStyle w:val="BodyText"/>
              <w:jc w:val="right"/>
              <w:rPr>
                <w:rFonts w:asciiTheme="majorHAnsi" w:hAnsiTheme="majorHAnsi" w:cstheme="majorHAnsi"/>
              </w:rPr>
            </w:pPr>
            <w:r>
              <w:rPr>
                <w:rFonts w:asciiTheme="majorHAnsi" w:hAnsiTheme="majorHAnsi"/>
              </w:rPr>
              <w:t>Rezidencial</w:t>
            </w:r>
          </w:p>
        </w:tc>
        <w:tc>
          <w:tcPr>
            <w:tcW w:w="0" w:type="auto"/>
            <w:vAlign w:val="center"/>
            <w:hideMark/>
          </w:tcPr>
          <w:p w14:paraId="34C64094"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lartë</w:t>
            </w:r>
          </w:p>
        </w:tc>
        <w:tc>
          <w:tcPr>
            <w:tcW w:w="0" w:type="auto"/>
            <w:vAlign w:val="center"/>
            <w:hideMark/>
          </w:tcPr>
          <w:p w14:paraId="34C64095"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Shumë i lartë - Shumë i lartë</w:t>
            </w:r>
          </w:p>
        </w:tc>
      </w:tr>
      <w:tr w:rsidR="00DD7ED4" w:rsidRPr="00FC75AC" w14:paraId="34C6409A" w14:textId="77777777" w:rsidTr="00333C31">
        <w:trPr>
          <w:tblCellSpacing w:w="15" w:type="dxa"/>
          <w:jc w:val="center"/>
        </w:trPr>
        <w:tc>
          <w:tcPr>
            <w:tcW w:w="0" w:type="auto"/>
            <w:vAlign w:val="center"/>
            <w:hideMark/>
          </w:tcPr>
          <w:p w14:paraId="34C64097" w14:textId="77777777" w:rsidR="00DD7ED4" w:rsidRPr="00FC75AC" w:rsidRDefault="00DD7ED4" w:rsidP="00333C31">
            <w:pPr>
              <w:pStyle w:val="BodyText"/>
              <w:jc w:val="right"/>
              <w:rPr>
                <w:rFonts w:asciiTheme="majorHAnsi" w:hAnsiTheme="majorHAnsi" w:cstheme="majorHAnsi"/>
              </w:rPr>
            </w:pPr>
            <w:r>
              <w:rPr>
                <w:rFonts w:asciiTheme="majorHAnsi" w:hAnsiTheme="majorHAnsi"/>
              </w:rPr>
              <w:t>Social</w:t>
            </w:r>
          </w:p>
        </w:tc>
        <w:tc>
          <w:tcPr>
            <w:tcW w:w="0" w:type="auto"/>
            <w:vAlign w:val="center"/>
            <w:hideMark/>
          </w:tcPr>
          <w:p w14:paraId="34C64098"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lartë</w:t>
            </w:r>
          </w:p>
        </w:tc>
        <w:tc>
          <w:tcPr>
            <w:tcW w:w="0" w:type="auto"/>
            <w:vAlign w:val="center"/>
            <w:hideMark/>
          </w:tcPr>
          <w:p w14:paraId="34C64099"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Shumë i lartë - Shumë i lartë</w:t>
            </w:r>
          </w:p>
        </w:tc>
      </w:tr>
      <w:tr w:rsidR="00DD7ED4" w:rsidRPr="00FC75AC" w14:paraId="34C6409E" w14:textId="77777777" w:rsidTr="00333C31">
        <w:trPr>
          <w:tblCellSpacing w:w="15" w:type="dxa"/>
          <w:jc w:val="center"/>
        </w:trPr>
        <w:tc>
          <w:tcPr>
            <w:tcW w:w="0" w:type="auto"/>
            <w:vAlign w:val="center"/>
            <w:hideMark/>
          </w:tcPr>
          <w:p w14:paraId="34C6409B" w14:textId="77777777" w:rsidR="00DD7ED4" w:rsidRPr="00FC75AC" w:rsidRDefault="00DD7ED4" w:rsidP="00333C31">
            <w:pPr>
              <w:pStyle w:val="BodyText"/>
              <w:jc w:val="right"/>
              <w:rPr>
                <w:rFonts w:asciiTheme="majorHAnsi" w:hAnsiTheme="majorHAnsi" w:cstheme="majorHAnsi"/>
              </w:rPr>
            </w:pPr>
            <w:r>
              <w:rPr>
                <w:rFonts w:asciiTheme="majorHAnsi" w:hAnsiTheme="majorHAnsi"/>
              </w:rPr>
              <w:t>Prodhimi</w:t>
            </w:r>
          </w:p>
        </w:tc>
        <w:tc>
          <w:tcPr>
            <w:tcW w:w="0" w:type="auto"/>
            <w:vAlign w:val="center"/>
            <w:hideMark/>
          </w:tcPr>
          <w:p w14:paraId="34C6409C"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9D"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Shumë i lartë - Shumë i lartë</w:t>
            </w:r>
          </w:p>
        </w:tc>
      </w:tr>
      <w:tr w:rsidR="00DD7ED4" w:rsidRPr="00FC75AC" w14:paraId="34C640A2" w14:textId="77777777" w:rsidTr="00333C31">
        <w:trPr>
          <w:tblCellSpacing w:w="15" w:type="dxa"/>
          <w:jc w:val="center"/>
        </w:trPr>
        <w:tc>
          <w:tcPr>
            <w:tcW w:w="0" w:type="auto"/>
            <w:vAlign w:val="center"/>
            <w:hideMark/>
          </w:tcPr>
          <w:p w14:paraId="34C6409F" w14:textId="77777777" w:rsidR="00DD7ED4" w:rsidRPr="00FC75AC" w:rsidRDefault="00DD7ED4" w:rsidP="00333C31">
            <w:pPr>
              <w:pStyle w:val="BodyText"/>
              <w:jc w:val="right"/>
              <w:rPr>
                <w:rFonts w:asciiTheme="majorHAnsi" w:hAnsiTheme="majorHAnsi" w:cstheme="majorHAnsi"/>
              </w:rPr>
            </w:pPr>
            <w:r>
              <w:rPr>
                <w:rFonts w:asciiTheme="majorHAnsi" w:hAnsiTheme="majorHAnsi"/>
              </w:rPr>
              <w:t>Rrjeti i furnizimit</w:t>
            </w:r>
          </w:p>
        </w:tc>
        <w:tc>
          <w:tcPr>
            <w:tcW w:w="0" w:type="auto"/>
            <w:vAlign w:val="center"/>
            <w:hideMark/>
          </w:tcPr>
          <w:p w14:paraId="34C640A0"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I ulët</w:t>
            </w:r>
          </w:p>
        </w:tc>
        <w:tc>
          <w:tcPr>
            <w:tcW w:w="0" w:type="auto"/>
            <w:vAlign w:val="center"/>
            <w:hideMark/>
          </w:tcPr>
          <w:p w14:paraId="34C640A1" w14:textId="77777777" w:rsidR="00DD7ED4" w:rsidRPr="00FC75AC" w:rsidRDefault="00DD7ED4" w:rsidP="00333C31">
            <w:pPr>
              <w:pStyle w:val="BodyText"/>
              <w:jc w:val="center"/>
              <w:rPr>
                <w:rFonts w:asciiTheme="majorHAnsi" w:hAnsiTheme="majorHAnsi" w:cstheme="majorHAnsi"/>
              </w:rPr>
            </w:pPr>
            <w:r>
              <w:rPr>
                <w:rFonts w:asciiTheme="majorHAnsi" w:hAnsiTheme="majorHAnsi"/>
              </w:rPr>
              <w:t>Shumë i lartë - Shumë i lartë</w:t>
            </w:r>
          </w:p>
        </w:tc>
      </w:tr>
    </w:tbl>
    <w:p w14:paraId="34C640A3" w14:textId="77777777" w:rsidR="00DD7ED4" w:rsidRDefault="00DD7ED4" w:rsidP="00DD7ED4">
      <w:pPr>
        <w:pStyle w:val="BodyText"/>
        <w:jc w:val="both"/>
        <w:rPr>
          <w:rFonts w:asciiTheme="majorHAnsi" w:hAnsiTheme="majorHAnsi" w:cstheme="majorHAnsi"/>
        </w:rPr>
      </w:pPr>
    </w:p>
    <w:p w14:paraId="34C640A4" w14:textId="77777777" w:rsidR="00DD7ED4" w:rsidRPr="00FC75AC" w:rsidRDefault="00DD7ED4" w:rsidP="00DD7ED4">
      <w:pPr>
        <w:pStyle w:val="BodyText"/>
        <w:jc w:val="both"/>
        <w:rPr>
          <w:rFonts w:asciiTheme="majorHAnsi" w:hAnsiTheme="majorHAnsi" w:cstheme="majorHAnsi"/>
        </w:rPr>
      </w:pPr>
      <w:r>
        <w:rPr>
          <w:rFonts w:asciiTheme="majorHAnsi" w:hAnsiTheme="majorHAnsi"/>
        </w:rPr>
        <w:t>Për ta përmbledhur, sektori urban, i bujqësisë dhe i turizmit vlerësohen si më të rrezikuarit, ndërsa sektori i energjisë dhe i transportit vlerësohen si më pak të rrezikuar (si për rreziqet aktuale po ashtu edhe për ato të ardhshme). Arsyeja kryesore është ndjeshmëria që ka bujqësia dhe turizmi ndaj ndryshimeve në variablat klimatikë, ndërsa në rastin e sektorit urban, arsyeja kryesore është ndjeshmëria e këtij sektori ndaj rritjes së temperaturave dhe valëve të të nxehtit duke pasur parasysh efektin e ishujve të nxehtësisë urbane, si dhe përqendrimin e konsiderueshëm të sektorit urban në bregdet. Për sa i përket rreziqeve të ardhshme, më të rrezikuarit janë nënsektorët që lidhen me kulturat e përkohshme bujqësore, turizmin ekologjik dhe zhvillimin urban. Nënsektorët më pak të rrezikuar janë derrat dhe shpendët, delet dhe dhitë, energjia eolike dhe diellore, të cilat kanë të gjitha rrezik mesatar.</w:t>
      </w:r>
    </w:p>
    <w:p w14:paraId="34C640A5" w14:textId="77777777" w:rsidR="00DD7ED4" w:rsidRPr="00FC75AC" w:rsidRDefault="00DD7ED4" w:rsidP="00333C31">
      <w:pPr>
        <w:pStyle w:val="BodyText"/>
        <w:jc w:val="both"/>
        <w:rPr>
          <w:rFonts w:asciiTheme="majorHAnsi" w:hAnsiTheme="majorHAnsi" w:cstheme="majorHAnsi"/>
        </w:rPr>
      </w:pPr>
      <w:r>
        <w:rPr>
          <w:rFonts w:asciiTheme="majorHAnsi" w:hAnsiTheme="majorHAnsi"/>
        </w:rPr>
        <w:t>Rreziqet klimatike ndërveprojnë me njëri-tjetrin dhe kombinimi i tyre, i cili krijon të ashtuquajturat rreziqe të përbëra ose komplekse, mund të ketë efekte më të rënda se sa kur këto rreziqe shfaqen më vete. Gjithashtu, sektorët dhe nënsektorët janë të ndërlidhur; rreziqet në një sektor nënkuptojnë rreziqe për sektorët e tjerë. Shqipëria është e ekspozuar gjithashtu edhe ndaj rreziqeve klimatike ndërkufitare, pra ndaj rreziqeve të lidhura me ndryshimet klimatike që kanë ndikim te rrjetet dhe burimet e përbashkëta me vende të tjera, në veçanti në sektorët e turizmit, transportit dhe energjisë. Nëse rreziqet e përbëra ose ndërkufitare merren parasysh, rreziqet klimatike të Shqipërisë mund të klasifikohen vetëm si të larta ose shumë të larta.</w:t>
      </w:r>
    </w:p>
    <w:p w14:paraId="0E9B6173" w14:textId="07EBB09E" w:rsidR="00B21078" w:rsidRPr="00B21078" w:rsidRDefault="00DD7ED4" w:rsidP="00333C31">
      <w:pPr>
        <w:pStyle w:val="BodyText"/>
        <w:jc w:val="both"/>
        <w:rPr>
          <w:rFonts w:asciiTheme="majorHAnsi" w:hAnsiTheme="majorHAnsi" w:cstheme="majorHAnsi"/>
        </w:rPr>
      </w:pPr>
      <w:r>
        <w:rPr>
          <w:rFonts w:asciiTheme="majorHAnsi" w:hAnsiTheme="majorHAnsi"/>
        </w:rPr>
        <w:lastRenderedPageBreak/>
        <w:t xml:space="preserve">Ekzistojnë disa faktorë që ndikojnë në rritjen e rreziqeve të përgjithshme klimatike të Shqipërisë. Faktorët që e bëjnë vendin tejet të cenueshëm janë sipërfaqja e vogël, përqendrimi i popullsisë në zonat bregdetare, shpyllëzimi dhe zjarret në pyje, si dhe varësia e madhe ndaj turizmit të diellit dhe detit, transportit rrugor dhe energjisë hidrike. </w:t>
      </w:r>
    </w:p>
    <w:p w14:paraId="19D2EC79" w14:textId="091B43B1" w:rsidR="00B21078" w:rsidRPr="00B21078" w:rsidRDefault="00B21078" w:rsidP="00333C31">
      <w:pPr>
        <w:pStyle w:val="BodyText"/>
        <w:jc w:val="both"/>
        <w:rPr>
          <w:rFonts w:asciiTheme="majorHAnsi" w:hAnsiTheme="majorHAnsi" w:cstheme="majorHAnsi"/>
        </w:rPr>
      </w:pPr>
      <w:r>
        <w:rPr>
          <w:rFonts w:asciiTheme="majorHAnsi" w:hAnsiTheme="majorHAnsi"/>
        </w:rPr>
        <w:t>Grupet e cenueshme, sidomos gratë dhe komunitetet e margjinalizuara në zonat e ekspozuara ndaj përmbytjeve, përballen me ndikime joproporcionale për shkak të moshës, gjendjes shëndetësore, statusit ekonomik, ose vendndodhjes. Megjithatë, ende nuk ka të dhëna konkrete mbi ndikimet e ndara sipas gjinisë.</w:t>
      </w:r>
    </w:p>
    <w:p w14:paraId="34C640A6" w14:textId="04672FFD" w:rsidR="00DD7ED4" w:rsidRPr="0086696D" w:rsidRDefault="00DD7ED4" w:rsidP="00333C31">
      <w:pPr>
        <w:pStyle w:val="BodyText"/>
        <w:jc w:val="both"/>
        <w:rPr>
          <w:rFonts w:asciiTheme="majorHAnsi" w:hAnsiTheme="majorHAnsi" w:cstheme="majorHAnsi"/>
        </w:rPr>
      </w:pPr>
      <w:r>
        <w:rPr>
          <w:rFonts w:asciiTheme="majorHAnsi" w:hAnsiTheme="majorHAnsi"/>
        </w:rPr>
        <w:t>Njerëzit që jetojnë në lagje të margjinalizuara, shpesh në zona të ekspozuara ndaj përmbytjeve përgjatë shtretërve të lumenjve, dhe në zonat bregdetare, janë veçanërisht të rrezikuar ndaj valëve të të nxehtit dhe reshjeve të dendura të shiut. Gjithashtu, gratë priren të jenë më të cenueshme ndaj rreziqeve klimatike krahasuar me burrat. Duke mos pasur sisteme të mbrojtjes sociale që të integrojnë përshtatjen ndaj ndryshimeve klimatike dhe rrjete të sigurisë, ndryshimet klimatike mund të bëjnë që, në këto komunitete të cenueshme, të kalohen pragjet kritike nga të cilat nuk ka më kthim pas. Menaxhimi i papërshtatshëm mjedisor, ku përfshihet shpyllëzimi, menaxhimi i dobët i pellgjeve ujëmbledhëse dhe menaxhimi i papërshtatshëm i mbetjeve, rrit gjithashtu rreziqet klimatike në të gjithë sektorët. Gjithashtu, mangësitë në legjislacionin për klimën, kapacitetet njerëzore, të dhëna dhe pajisje, mund të përkeqësojnë më tej rreziqet klimatike të vendit dhe përpjekjet për përshtatje.</w:t>
      </w:r>
    </w:p>
    <w:p w14:paraId="34C640A7" w14:textId="3C7088FE" w:rsidR="00DD7ED4" w:rsidRPr="00FC75AC" w:rsidRDefault="00DD7ED4" w:rsidP="00333C31">
      <w:pPr>
        <w:pStyle w:val="BodyText"/>
        <w:jc w:val="both"/>
        <w:rPr>
          <w:rFonts w:asciiTheme="majorHAnsi" w:hAnsiTheme="majorHAnsi" w:cstheme="majorHAnsi"/>
        </w:rPr>
      </w:pPr>
      <w:r>
        <w:rPr>
          <w:rFonts w:asciiTheme="majorHAnsi" w:hAnsiTheme="majorHAnsi"/>
        </w:rPr>
        <w:t>Nga ana tjetër, disa faktorë mund të reduktojnë rreziqet klimatike të Shqipërisë. Larmia e konsiderueshme e ekosistemeve të saj dhe relievi i thyer i bregdetit të Jonit, kontribuojnë në qëndrueshmërinë e vendit. Për më tepër, rritja e projektuar e PBB-së dhe PBB-së për frymë do të rrisë kapacitetin e përshtatjes së vendit. Zbatimi i rregulloreve, strategjive dhe planeve evropiane kontribuon në një integrim më të mirë të përshtatjes ndaj ndryshimeve klimatike, në rritjen e kapacitetit të përshtatjes së vendit dhe në reduktimin e rreziqeve klimatike.</w:t>
      </w:r>
    </w:p>
    <w:p w14:paraId="34C640A8" w14:textId="77777777" w:rsidR="00DD7ED4" w:rsidRDefault="00DD7ED4" w:rsidP="00333C31">
      <w:pPr>
        <w:pStyle w:val="BodyText"/>
        <w:jc w:val="both"/>
        <w:rPr>
          <w:rFonts w:asciiTheme="majorHAnsi" w:hAnsiTheme="majorHAnsi" w:cstheme="majorHAnsi"/>
        </w:rPr>
      </w:pPr>
    </w:p>
    <w:p w14:paraId="34C640A9" w14:textId="77777777" w:rsidR="00DD7ED4" w:rsidRPr="00FC75AC" w:rsidRDefault="004A7844" w:rsidP="00333C31">
      <w:pPr>
        <w:pStyle w:val="Heading2"/>
        <w:spacing w:before="120"/>
        <w:rPr>
          <w:rFonts w:asciiTheme="majorHAnsi" w:hAnsiTheme="majorHAnsi" w:cstheme="majorHAnsi"/>
        </w:rPr>
      </w:pPr>
      <w:bookmarkStart w:id="64" w:name="_Toc216778881"/>
      <w:r>
        <w:rPr>
          <w:rFonts w:asciiTheme="majorHAnsi" w:hAnsiTheme="majorHAnsi"/>
        </w:rPr>
        <w:t>5.4. Masat e përshtatjes</w:t>
      </w:r>
      <w:bookmarkEnd w:id="64"/>
    </w:p>
    <w:p w14:paraId="34C640AA" w14:textId="36B8B2A0" w:rsidR="00DD7ED4" w:rsidRPr="00FC75AC" w:rsidRDefault="00DD7ED4" w:rsidP="00333C31">
      <w:pPr>
        <w:pStyle w:val="BodyText"/>
        <w:jc w:val="both"/>
        <w:rPr>
          <w:rFonts w:asciiTheme="majorHAnsi" w:hAnsiTheme="majorHAnsi" w:cstheme="majorHAnsi"/>
        </w:rPr>
      </w:pPr>
      <w:r>
        <w:rPr>
          <w:rFonts w:asciiTheme="majorHAnsi" w:hAnsiTheme="majorHAnsi"/>
        </w:rPr>
        <w:t xml:space="preserve">Për të pestë sektorët prioritarë, është përgatitur një grup i masave të përshtatjes, si dhe i masave ndërsektoriale, në bazë të masave ose veprimeve të përshtatjes të identifikuara tashmë në kuadrin përkatës të politikave të Shqipërisë, të cilat janë diskutuar dhe analizuar më tej me ekspertët sektorialë. PKEK-ja duhet të shërbejë si një kuadër ombrellë që konsolidon masat për efiçencën e energjisë dhe masat për energjinë e rinovueshme, për të shmangur dublikimet mes dokumenteve strategjike. </w:t>
      </w:r>
    </w:p>
    <w:p w14:paraId="3969BF1E" w14:textId="77777777" w:rsidR="005243AF" w:rsidRDefault="00DD7ED4" w:rsidP="005243AF">
      <w:pPr>
        <w:pStyle w:val="BodyText"/>
        <w:spacing w:after="0"/>
        <w:jc w:val="both"/>
        <w:rPr>
          <w:rFonts w:asciiTheme="majorHAnsi" w:hAnsiTheme="majorHAnsi" w:cstheme="majorHAnsi"/>
        </w:rPr>
      </w:pPr>
      <w:r>
        <w:rPr>
          <w:rFonts w:asciiTheme="majorHAnsi" w:hAnsiTheme="majorHAnsi"/>
        </w:rPr>
        <w:t xml:space="preserve">Janë identifikuar tre fusha kryesore të përgjithshme </w:t>
      </w:r>
      <w:r>
        <w:rPr>
          <w:rFonts w:asciiTheme="majorHAnsi" w:hAnsiTheme="majorHAnsi"/>
          <w:u w:val="single"/>
        </w:rPr>
        <w:t>ndërsektoriale</w:t>
      </w:r>
      <w:r>
        <w:rPr>
          <w:rFonts w:asciiTheme="majorHAnsi" w:hAnsiTheme="majorHAnsi"/>
        </w:rPr>
        <w:t xml:space="preserve"> për masat e përshtatjes, si më poshtë: </w:t>
      </w:r>
    </w:p>
    <w:p w14:paraId="40DA520B" w14:textId="70A9F80A" w:rsidR="005243AF" w:rsidRPr="005243AF" w:rsidRDefault="005243AF" w:rsidP="005243AF">
      <w:pPr>
        <w:pStyle w:val="BodyText"/>
        <w:numPr>
          <w:ilvl w:val="2"/>
          <w:numId w:val="31"/>
        </w:numPr>
        <w:spacing w:after="0"/>
        <w:ind w:left="630" w:hanging="90"/>
        <w:jc w:val="both"/>
        <w:rPr>
          <w:rFonts w:asciiTheme="majorHAnsi" w:hAnsiTheme="majorHAnsi" w:cstheme="majorHAnsi"/>
        </w:rPr>
      </w:pPr>
      <w:r>
        <w:rPr>
          <w:rFonts w:asciiTheme="majorHAnsi" w:hAnsiTheme="majorHAnsi"/>
        </w:rPr>
        <w:t>Përmirësimi i koordinimit mbi ndryshimet klimatike (me 4 masa specifike të përshtatjes)</w:t>
      </w:r>
    </w:p>
    <w:p w14:paraId="3DB2C8F8" w14:textId="77777777" w:rsidR="005243AF" w:rsidRDefault="004E39CC" w:rsidP="005243AF">
      <w:pPr>
        <w:pStyle w:val="BodyText"/>
        <w:numPr>
          <w:ilvl w:val="2"/>
          <w:numId w:val="31"/>
        </w:numPr>
        <w:spacing w:after="0"/>
        <w:ind w:left="630" w:hanging="90"/>
        <w:jc w:val="both"/>
        <w:rPr>
          <w:rFonts w:asciiTheme="majorHAnsi" w:hAnsiTheme="majorHAnsi" w:cstheme="majorHAnsi"/>
        </w:rPr>
      </w:pPr>
      <w:r>
        <w:rPr>
          <w:rFonts w:asciiTheme="majorHAnsi" w:hAnsiTheme="majorHAnsi"/>
        </w:rPr>
        <w:t>Krijimi i një baze të centralizuar të dhënash në nivel kombëtar për t'u siguruar grupeve të interesit akses në projeksionet klimatike dhe në masat e përshtatjes, me qëllim adresimin e mangësive në të dhënat për ndikimet sektoriale, si dhe</w:t>
      </w:r>
    </w:p>
    <w:p w14:paraId="152D802D" w14:textId="5DC0EC71" w:rsidR="005243AF" w:rsidRDefault="005243AF" w:rsidP="00333C31">
      <w:pPr>
        <w:pStyle w:val="BodyText"/>
        <w:numPr>
          <w:ilvl w:val="2"/>
          <w:numId w:val="31"/>
        </w:numPr>
        <w:spacing w:after="0"/>
        <w:ind w:left="630" w:hanging="90"/>
        <w:jc w:val="both"/>
        <w:rPr>
          <w:rFonts w:asciiTheme="majorHAnsi" w:hAnsiTheme="majorHAnsi" w:cstheme="majorHAnsi"/>
        </w:rPr>
      </w:pPr>
      <w:r>
        <w:rPr>
          <w:rFonts w:asciiTheme="majorHAnsi" w:hAnsiTheme="majorHAnsi"/>
        </w:rPr>
        <w:t>Përshtatja e bazuar në ekosistem dhe zgjidhjet e bazuara në natyrë.</w:t>
      </w:r>
    </w:p>
    <w:p w14:paraId="4C05ACC4" w14:textId="77777777" w:rsidR="00B72A8C" w:rsidRPr="00376025" w:rsidRDefault="00B72A8C" w:rsidP="005D4B30">
      <w:pPr>
        <w:pStyle w:val="BodyText"/>
        <w:spacing w:after="0"/>
        <w:jc w:val="both"/>
        <w:rPr>
          <w:rFonts w:asciiTheme="majorHAnsi" w:hAnsiTheme="majorHAnsi"/>
        </w:rPr>
      </w:pPr>
    </w:p>
    <w:p w14:paraId="02EC87E5" w14:textId="2AB10180" w:rsidR="005D4B30" w:rsidRDefault="00B72A8C" w:rsidP="005D4B30">
      <w:pPr>
        <w:pStyle w:val="BodyText"/>
        <w:spacing w:after="0"/>
        <w:jc w:val="both"/>
        <w:rPr>
          <w:rFonts w:asciiTheme="majorHAnsi" w:hAnsiTheme="majorHAnsi"/>
        </w:rPr>
      </w:pPr>
      <w:r>
        <w:rPr>
          <w:rFonts w:asciiTheme="majorHAnsi" w:hAnsiTheme="majorHAnsi"/>
        </w:rPr>
        <w:lastRenderedPageBreak/>
        <w:t>Është propozuar një përmirësim në nivel kombëtar, i orientuar drejt shërbimeve, i funksioneve meteorologjike dhe hidrologjike për të rritur cilësinë dhe përdorueshmërinë e të dhënave për vendimmarrjen në të gjithë sektorët prioritarë. Objektivi kombinon:</w:t>
      </w:r>
    </w:p>
    <w:p w14:paraId="592597DD" w14:textId="77777777" w:rsidR="00B72A8C" w:rsidRDefault="00B72A8C" w:rsidP="005D4B30">
      <w:pPr>
        <w:pStyle w:val="BodyText"/>
        <w:spacing w:after="0"/>
        <w:jc w:val="both"/>
        <w:rPr>
          <w:rFonts w:asciiTheme="majorHAnsi" w:hAnsiTheme="majorHAnsi"/>
          <w:lang w:val="en-US"/>
        </w:rPr>
      </w:pPr>
    </w:p>
    <w:p w14:paraId="394B9080" w14:textId="34639856" w:rsidR="00B72A8C" w:rsidRDefault="00B72A8C" w:rsidP="00BF3FA4">
      <w:pPr>
        <w:pStyle w:val="BodyText"/>
        <w:numPr>
          <w:ilvl w:val="0"/>
          <w:numId w:val="38"/>
        </w:numPr>
        <w:spacing w:after="0"/>
        <w:ind w:firstLine="0"/>
        <w:jc w:val="both"/>
        <w:rPr>
          <w:rFonts w:asciiTheme="majorHAnsi" w:hAnsiTheme="majorHAnsi"/>
        </w:rPr>
      </w:pPr>
      <w:r>
        <w:rPr>
          <w:rFonts w:asciiTheme="majorHAnsi" w:hAnsiTheme="majorHAnsi"/>
        </w:rPr>
        <w:t xml:space="preserve">Forcimin e shërbimeve kombëtare hidro-meteorologjike në nivel institucional dhe rregullator. </w:t>
      </w:r>
    </w:p>
    <w:p w14:paraId="22F34383" w14:textId="41B2FAC8" w:rsidR="00B72A8C" w:rsidRDefault="00B72A8C" w:rsidP="0062163E">
      <w:pPr>
        <w:pStyle w:val="BodyText"/>
        <w:numPr>
          <w:ilvl w:val="0"/>
          <w:numId w:val="38"/>
        </w:numPr>
        <w:tabs>
          <w:tab w:val="left" w:pos="420"/>
        </w:tabs>
        <w:spacing w:after="0"/>
        <w:ind w:firstLine="0"/>
        <w:jc w:val="both"/>
        <w:rPr>
          <w:rFonts w:asciiTheme="majorHAnsi" w:hAnsiTheme="majorHAnsi"/>
        </w:rPr>
      </w:pPr>
      <w:r>
        <w:rPr>
          <w:rFonts w:asciiTheme="majorHAnsi" w:hAnsiTheme="majorHAnsi"/>
        </w:rPr>
        <w:t>Modernizimi i rrjeteve vëzhguese, menaxhimit të të dhënave dhe kontrollit të cilësisë (duke përfshirë lidhjet me protokollet e shkëmbimit ndërkombëtar).</w:t>
      </w:r>
    </w:p>
    <w:p w14:paraId="6971B73A" w14:textId="412D94DA" w:rsidR="00B72A8C" w:rsidRDefault="00B72A8C" w:rsidP="0062163E">
      <w:pPr>
        <w:pStyle w:val="BodyText"/>
        <w:numPr>
          <w:ilvl w:val="0"/>
          <w:numId w:val="38"/>
        </w:numPr>
        <w:tabs>
          <w:tab w:val="left" w:pos="420"/>
        </w:tabs>
        <w:spacing w:after="0"/>
        <w:ind w:firstLine="0"/>
        <w:jc w:val="both"/>
        <w:rPr>
          <w:rFonts w:asciiTheme="majorHAnsi" w:hAnsiTheme="majorHAnsi" w:cstheme="majorHAnsi"/>
        </w:rPr>
      </w:pPr>
      <w:r>
        <w:rPr>
          <w:rFonts w:asciiTheme="majorHAnsi" w:hAnsiTheme="majorHAnsi"/>
        </w:rPr>
        <w:t xml:space="preserve">Ndërtimi i një kuadri kombëtar për shërbimet klimatike me një sistem kombëtar të informacioneve rreth klimës dhe një platformë me ndërfaqe për përdoruesin, për të zhvilluar bashkërisht me përdoruesit shërbime të përshtatura sipas sektorit. </w:t>
      </w:r>
    </w:p>
    <w:p w14:paraId="3AC48C0D" w14:textId="77777777" w:rsidR="00454CDF" w:rsidRPr="00376025" w:rsidRDefault="00454CDF" w:rsidP="009C1ACE">
      <w:pPr>
        <w:pStyle w:val="BodyText"/>
        <w:numPr>
          <w:ilvl w:val="255"/>
          <w:numId w:val="0"/>
        </w:numPr>
        <w:jc w:val="both"/>
        <w:rPr>
          <w:rFonts w:asciiTheme="majorHAnsi" w:hAnsiTheme="majorHAnsi"/>
        </w:rPr>
      </w:pPr>
    </w:p>
    <w:p w14:paraId="4A8F2694" w14:textId="57CEFCC9" w:rsidR="00B72A8C" w:rsidRDefault="00B72A8C" w:rsidP="009C1ACE">
      <w:pPr>
        <w:pStyle w:val="BodyText"/>
        <w:numPr>
          <w:ilvl w:val="255"/>
          <w:numId w:val="0"/>
        </w:numPr>
        <w:jc w:val="both"/>
        <w:rPr>
          <w:rFonts w:asciiTheme="majorHAnsi" w:hAnsiTheme="majorHAnsi" w:cstheme="majorHAnsi"/>
        </w:rPr>
      </w:pPr>
      <w:r>
        <w:rPr>
          <w:rFonts w:asciiTheme="majorHAnsi" w:hAnsiTheme="majorHAnsi"/>
        </w:rPr>
        <w:t>Së bashku, këto masa rrisin besueshmërinë e vëzhgimeve dhe parashikimeve, mundësojnë grupe konsistente të dhënash klimatike dhe krijojnë mundësi për këshilla të synuara për bujqësinë, energjinë, transportin, turizmin dhe planifikimin urban. Duke u mbështetur në përmirësimin e shërbimeve klimatike dhe hidrometeorologjike, kjo qasje do të lehtësonte krijimin e një sistemi të paralajmërimit të hershëm për shumë rreziqeve që mbulon përmbytjet, thatësirat, stuhitë, valët e të nxehtit, rrëshqitjet e dheut dhe zjarret në pyje. Duke qartësuar kompetencat mes autoriteteve përgjegjëse për klimën, aspektet hidrologjike dhe mbrojtjen civile, duke aplikuar flukse pune gjithëpërfshirëse për zbulimin dhe monitorimin, duke garantuar dhënien e paralajmërimeve të dokumentuara dhe në kohë, si dhe duke integruar protokollet e gatishmërisë, sistemi do të kalonte nga shërbimet e dhënies së informacionit mbi rreziqet te shërbimet e bazuara në ndikim, të cilat reduktojnë humbjet dhe mbrojnë mjetet e jetesës në të gjithë sektorët.</w:t>
      </w:r>
    </w:p>
    <w:p w14:paraId="6F7D7A01" w14:textId="77777777" w:rsidR="00B72A8C" w:rsidRPr="00376025" w:rsidRDefault="00B72A8C" w:rsidP="005D4B30">
      <w:pPr>
        <w:pStyle w:val="BodyText"/>
        <w:spacing w:after="0"/>
        <w:jc w:val="both"/>
        <w:rPr>
          <w:rFonts w:asciiTheme="majorHAnsi" w:hAnsiTheme="majorHAnsi" w:cstheme="majorHAnsi"/>
        </w:rPr>
      </w:pPr>
    </w:p>
    <w:p w14:paraId="63F81B95" w14:textId="77777777" w:rsidR="005D4B30" w:rsidRDefault="00DD7ED4" w:rsidP="003C792D">
      <w:pPr>
        <w:pStyle w:val="BodyText"/>
        <w:spacing w:after="0"/>
        <w:jc w:val="both"/>
        <w:rPr>
          <w:rFonts w:asciiTheme="majorHAnsi" w:hAnsiTheme="majorHAnsi" w:cstheme="majorHAnsi"/>
        </w:rPr>
      </w:pPr>
      <w:r>
        <w:rPr>
          <w:rFonts w:asciiTheme="majorHAnsi" w:hAnsiTheme="majorHAnsi"/>
        </w:rPr>
        <w:t xml:space="preserve">Masat e identifikuara në </w:t>
      </w:r>
      <w:r>
        <w:rPr>
          <w:rFonts w:asciiTheme="majorHAnsi" w:hAnsiTheme="majorHAnsi"/>
          <w:u w:val="single"/>
        </w:rPr>
        <w:t>sektorin e bujqësisë</w:t>
      </w:r>
      <w:r>
        <w:rPr>
          <w:rFonts w:asciiTheme="majorHAnsi" w:hAnsiTheme="majorHAnsi"/>
        </w:rPr>
        <w:t xml:space="preserve"> ndahen në nëntë nënkategori, si në vijim: </w:t>
      </w:r>
    </w:p>
    <w:p w14:paraId="7D0991B3" w14:textId="77777777" w:rsidR="005D4B30" w:rsidRDefault="00DD7ED4" w:rsidP="003C792D">
      <w:pPr>
        <w:pStyle w:val="BodyText"/>
        <w:numPr>
          <w:ilvl w:val="0"/>
          <w:numId w:val="32"/>
        </w:numPr>
        <w:spacing w:after="0"/>
        <w:jc w:val="both"/>
        <w:rPr>
          <w:rFonts w:asciiTheme="majorHAnsi" w:hAnsiTheme="majorHAnsi" w:cstheme="majorHAnsi"/>
        </w:rPr>
      </w:pPr>
      <w:r>
        <w:rPr>
          <w:rFonts w:asciiTheme="majorHAnsi" w:hAnsiTheme="majorHAnsi"/>
        </w:rPr>
        <w:t>Të përgjithshme (4 masa specifike të përshtatjes)</w:t>
      </w:r>
    </w:p>
    <w:p w14:paraId="695D2D3B" w14:textId="45A7E26A" w:rsidR="005D4B30" w:rsidRDefault="00DD7ED4" w:rsidP="003C792D">
      <w:pPr>
        <w:pStyle w:val="BodyText"/>
        <w:numPr>
          <w:ilvl w:val="0"/>
          <w:numId w:val="32"/>
        </w:numPr>
        <w:spacing w:after="0"/>
        <w:jc w:val="both"/>
        <w:rPr>
          <w:rFonts w:asciiTheme="majorHAnsi" w:hAnsiTheme="majorHAnsi" w:cstheme="majorHAnsi"/>
        </w:rPr>
      </w:pPr>
      <w:r>
        <w:rPr>
          <w:rFonts w:asciiTheme="majorHAnsi" w:hAnsiTheme="majorHAnsi"/>
        </w:rPr>
        <w:t xml:space="preserve">Menaxhimi i pyjeve dhe kullotave (5 masa specifike të përshtatjes), </w:t>
      </w:r>
    </w:p>
    <w:p w14:paraId="38327521" w14:textId="6E71A97A" w:rsidR="005D4B30" w:rsidRDefault="00DD7ED4" w:rsidP="005D4B30">
      <w:pPr>
        <w:pStyle w:val="BodyText"/>
        <w:numPr>
          <w:ilvl w:val="0"/>
          <w:numId w:val="32"/>
        </w:numPr>
        <w:spacing w:after="0"/>
        <w:jc w:val="both"/>
        <w:rPr>
          <w:rFonts w:asciiTheme="majorHAnsi" w:hAnsiTheme="majorHAnsi" w:cstheme="majorHAnsi"/>
        </w:rPr>
      </w:pPr>
      <w:r>
        <w:rPr>
          <w:rFonts w:asciiTheme="majorHAnsi" w:hAnsiTheme="majorHAnsi"/>
        </w:rPr>
        <w:t xml:space="preserve">Menaxhimi i zjarreve (3 masa specifike të përshtatjes), </w:t>
      </w:r>
    </w:p>
    <w:p w14:paraId="69022907" w14:textId="4DD291CF" w:rsidR="005D4B30" w:rsidRDefault="00DD7ED4" w:rsidP="005D4B30">
      <w:pPr>
        <w:pStyle w:val="BodyText"/>
        <w:numPr>
          <w:ilvl w:val="0"/>
          <w:numId w:val="32"/>
        </w:numPr>
        <w:spacing w:after="0"/>
        <w:jc w:val="both"/>
        <w:rPr>
          <w:rFonts w:asciiTheme="majorHAnsi" w:hAnsiTheme="majorHAnsi" w:cstheme="majorHAnsi"/>
        </w:rPr>
      </w:pPr>
      <w:r>
        <w:rPr>
          <w:rFonts w:asciiTheme="majorHAnsi" w:hAnsiTheme="majorHAnsi"/>
        </w:rPr>
        <w:t>Ruajtja e kulturave bujqësore, si dhe e burimeve gjenetike blegtorale, specieve dhe racave vendase (6 masa specifike të përshtatjes)</w:t>
      </w:r>
    </w:p>
    <w:p w14:paraId="0F881DB3" w14:textId="3C454420" w:rsidR="005D4B30" w:rsidRDefault="00DD7ED4" w:rsidP="005D4B30">
      <w:pPr>
        <w:pStyle w:val="BodyText"/>
        <w:numPr>
          <w:ilvl w:val="0"/>
          <w:numId w:val="32"/>
        </w:numPr>
        <w:spacing w:after="0"/>
        <w:jc w:val="both"/>
        <w:rPr>
          <w:rFonts w:asciiTheme="majorHAnsi" w:hAnsiTheme="majorHAnsi" w:cstheme="majorHAnsi"/>
        </w:rPr>
      </w:pPr>
      <w:r>
        <w:rPr>
          <w:rFonts w:asciiTheme="majorHAnsi" w:hAnsiTheme="majorHAnsi"/>
        </w:rPr>
        <w:t>Promovimi i varieteteve të qëndrueshme/rezistente ndaj të nxehtit, thatësirave dhe kripës (2 masa specifike të përshtatjes)</w:t>
      </w:r>
    </w:p>
    <w:p w14:paraId="0C6496C3" w14:textId="3CF00631" w:rsidR="005D4B30" w:rsidRDefault="00DD7ED4" w:rsidP="005D4B30">
      <w:pPr>
        <w:pStyle w:val="BodyText"/>
        <w:numPr>
          <w:ilvl w:val="0"/>
          <w:numId w:val="32"/>
        </w:numPr>
        <w:spacing w:after="0"/>
        <w:jc w:val="both"/>
        <w:rPr>
          <w:rFonts w:asciiTheme="majorHAnsi" w:hAnsiTheme="majorHAnsi" w:cstheme="majorHAnsi"/>
        </w:rPr>
      </w:pPr>
      <w:r>
        <w:rPr>
          <w:rFonts w:asciiTheme="majorHAnsi" w:hAnsiTheme="majorHAnsi"/>
        </w:rPr>
        <w:t>Menaxhimi i specieve invazive për bujqësinë dhe pyjet (3 masa specifike të përshtatjes)</w:t>
      </w:r>
    </w:p>
    <w:p w14:paraId="6390C7C3" w14:textId="784D809E" w:rsidR="005D4B30" w:rsidRPr="00076830" w:rsidRDefault="00DD7ED4" w:rsidP="005D4B30">
      <w:pPr>
        <w:pStyle w:val="BodyText"/>
        <w:numPr>
          <w:ilvl w:val="0"/>
          <w:numId w:val="32"/>
        </w:numPr>
        <w:spacing w:after="0"/>
        <w:jc w:val="both"/>
        <w:rPr>
          <w:rFonts w:asciiTheme="majorHAnsi" w:hAnsiTheme="majorHAnsi" w:cstheme="majorHAnsi"/>
        </w:rPr>
      </w:pPr>
      <w:r>
        <w:rPr>
          <w:rFonts w:asciiTheme="majorHAnsi" w:hAnsiTheme="majorHAnsi"/>
        </w:rPr>
        <w:t>Mbrojtja e tokës bujqësore nga përmbytjet si pasojë e rritjes së nivelit të lumenjve dhe detit (4 masa specifike të përshtatjes),</w:t>
      </w:r>
    </w:p>
    <w:p w14:paraId="73BC768C" w14:textId="66934F7A" w:rsidR="005D4B30" w:rsidRPr="00076830" w:rsidRDefault="00DD7ED4" w:rsidP="003C792D">
      <w:pPr>
        <w:pStyle w:val="BodyText"/>
        <w:numPr>
          <w:ilvl w:val="0"/>
          <w:numId w:val="32"/>
        </w:numPr>
        <w:spacing w:after="0"/>
        <w:jc w:val="both"/>
        <w:rPr>
          <w:rFonts w:asciiTheme="majorHAnsi" w:hAnsiTheme="majorHAnsi" w:cstheme="majorHAnsi"/>
        </w:rPr>
      </w:pPr>
      <w:r>
        <w:rPr>
          <w:rFonts w:asciiTheme="majorHAnsi" w:hAnsiTheme="majorHAnsi"/>
        </w:rPr>
        <w:t xml:space="preserve">Menaxhimi i pjellorisë së tokës (7 masa specifike të përshtatjes), si dhe </w:t>
      </w:r>
    </w:p>
    <w:p w14:paraId="34C640AC" w14:textId="54724923" w:rsidR="00DD7ED4" w:rsidRPr="002F3D86" w:rsidRDefault="00DD7ED4" w:rsidP="005D4B30">
      <w:pPr>
        <w:pStyle w:val="BodyText"/>
        <w:numPr>
          <w:ilvl w:val="0"/>
          <w:numId w:val="32"/>
        </w:numPr>
        <w:spacing w:after="0"/>
        <w:jc w:val="both"/>
        <w:rPr>
          <w:rFonts w:asciiTheme="majorHAnsi" w:hAnsiTheme="majorHAnsi" w:cstheme="majorHAnsi"/>
        </w:rPr>
      </w:pPr>
      <w:r>
        <w:rPr>
          <w:rFonts w:asciiTheme="majorHAnsi" w:hAnsiTheme="majorHAnsi"/>
        </w:rPr>
        <w:t>Vlerësimi i ujit që përdoret në sektorin e bujqësisë dhe i masave të efiçencës së ujit (8 masa specifike të përshtatjes).</w:t>
      </w:r>
    </w:p>
    <w:p w14:paraId="6969E8A6" w14:textId="77777777" w:rsidR="002F3D86" w:rsidRDefault="002F3D86" w:rsidP="002F3D86">
      <w:pPr>
        <w:pStyle w:val="BodyText"/>
        <w:spacing w:after="0"/>
        <w:jc w:val="both"/>
        <w:rPr>
          <w:rFonts w:asciiTheme="majorHAnsi" w:hAnsiTheme="majorHAnsi"/>
        </w:rPr>
      </w:pPr>
    </w:p>
    <w:p w14:paraId="4A5FD4F9" w14:textId="483BDDC4" w:rsidR="002F3D86" w:rsidRPr="007966BB" w:rsidRDefault="002F3D86" w:rsidP="002F3D86">
      <w:pPr>
        <w:pStyle w:val="BodyText"/>
        <w:spacing w:after="0"/>
        <w:jc w:val="both"/>
        <w:rPr>
          <w:rFonts w:asciiTheme="majorHAnsi" w:hAnsiTheme="majorHAnsi" w:cstheme="majorHAnsi"/>
        </w:rPr>
      </w:pPr>
      <w:r w:rsidRPr="007966BB">
        <w:rPr>
          <w:rFonts w:asciiTheme="majorHAnsi" w:hAnsiTheme="majorHAnsi" w:cstheme="majorHAnsi"/>
        </w:rPr>
        <w:t xml:space="preserve">Masat e identifikuara në </w:t>
      </w:r>
      <w:r w:rsidRPr="007966BB">
        <w:rPr>
          <w:rFonts w:asciiTheme="majorHAnsi" w:hAnsiTheme="majorHAnsi" w:cstheme="majorHAnsi"/>
          <w:u w:val="single"/>
        </w:rPr>
        <w:t>s</w:t>
      </w:r>
      <w:r w:rsidRPr="007966BB">
        <w:rPr>
          <w:rFonts w:asciiTheme="majorHAnsi" w:hAnsiTheme="majorHAnsi" w:cstheme="majorHAnsi"/>
          <w:u w:val="single"/>
        </w:rPr>
        <w:t xml:space="preserve">ektorin e </w:t>
      </w:r>
      <w:r w:rsidRPr="007966BB">
        <w:rPr>
          <w:rFonts w:asciiTheme="majorHAnsi" w:hAnsiTheme="majorHAnsi" w:cstheme="majorHAnsi"/>
          <w:u w:val="single"/>
        </w:rPr>
        <w:t>p</w:t>
      </w:r>
      <w:r w:rsidRPr="007966BB">
        <w:rPr>
          <w:rFonts w:asciiTheme="majorHAnsi" w:hAnsiTheme="majorHAnsi" w:cstheme="majorHAnsi"/>
          <w:u w:val="single"/>
        </w:rPr>
        <w:t xml:space="preserve">ylltarisë dhe </w:t>
      </w:r>
      <w:r w:rsidRPr="007966BB">
        <w:rPr>
          <w:rFonts w:asciiTheme="majorHAnsi" w:hAnsiTheme="majorHAnsi" w:cstheme="majorHAnsi"/>
          <w:u w:val="single"/>
        </w:rPr>
        <w:t>k</w:t>
      </w:r>
      <w:r w:rsidRPr="007966BB">
        <w:rPr>
          <w:rFonts w:asciiTheme="majorHAnsi" w:hAnsiTheme="majorHAnsi" w:cstheme="majorHAnsi"/>
          <w:u w:val="single"/>
        </w:rPr>
        <w:t>ullotave</w:t>
      </w:r>
      <w:r w:rsidRPr="007966BB">
        <w:rPr>
          <w:rFonts w:asciiTheme="majorHAnsi" w:hAnsiTheme="majorHAnsi" w:cstheme="majorHAnsi"/>
        </w:rPr>
        <w:t xml:space="preserve"> ndahen në katër nënseksionet e mëposhtme: </w:t>
      </w:r>
    </w:p>
    <w:p w14:paraId="597A1FD5" w14:textId="4D435D37" w:rsidR="002F3D86" w:rsidRPr="007966BB" w:rsidRDefault="002F3D86" w:rsidP="002F3D86">
      <w:pPr>
        <w:pStyle w:val="BodyText"/>
        <w:numPr>
          <w:ilvl w:val="0"/>
          <w:numId w:val="40"/>
        </w:numPr>
        <w:spacing w:after="0"/>
        <w:jc w:val="both"/>
        <w:rPr>
          <w:rFonts w:asciiTheme="majorHAnsi" w:hAnsiTheme="majorHAnsi" w:cstheme="majorHAnsi"/>
        </w:rPr>
      </w:pPr>
      <w:r w:rsidRPr="007966BB">
        <w:rPr>
          <w:rFonts w:asciiTheme="majorHAnsi" w:hAnsiTheme="majorHAnsi" w:cstheme="majorHAnsi"/>
        </w:rPr>
        <w:t xml:space="preserve">Menaxhimi i pyjeve dhe kullotave (5 masa specifike </w:t>
      </w:r>
      <w:r w:rsidRPr="007966BB">
        <w:rPr>
          <w:rFonts w:asciiTheme="majorHAnsi" w:hAnsiTheme="majorHAnsi" w:cstheme="majorHAnsi"/>
        </w:rPr>
        <w:t>t</w:t>
      </w:r>
      <w:r w:rsidR="007966BB" w:rsidRPr="007966BB">
        <w:rPr>
          <w:rFonts w:asciiTheme="majorHAnsi" w:hAnsiTheme="majorHAnsi" w:cstheme="majorHAnsi"/>
        </w:rPr>
        <w:t>ë</w:t>
      </w:r>
      <w:r w:rsidRPr="007966BB">
        <w:rPr>
          <w:rFonts w:asciiTheme="majorHAnsi" w:hAnsiTheme="majorHAnsi" w:cstheme="majorHAnsi"/>
        </w:rPr>
        <w:t xml:space="preserve"> p</w:t>
      </w:r>
      <w:r w:rsidR="007966BB" w:rsidRPr="007966BB">
        <w:rPr>
          <w:rFonts w:asciiTheme="majorHAnsi" w:hAnsiTheme="majorHAnsi" w:cstheme="majorHAnsi"/>
        </w:rPr>
        <w:t>ë</w:t>
      </w:r>
      <w:r w:rsidRPr="007966BB">
        <w:rPr>
          <w:rFonts w:asciiTheme="majorHAnsi" w:hAnsiTheme="majorHAnsi" w:cstheme="majorHAnsi"/>
        </w:rPr>
        <w:t>rshtatjes</w:t>
      </w:r>
      <w:r w:rsidRPr="007966BB">
        <w:rPr>
          <w:rFonts w:asciiTheme="majorHAnsi" w:hAnsiTheme="majorHAnsi" w:cstheme="majorHAnsi"/>
        </w:rPr>
        <w:t xml:space="preserve">) </w:t>
      </w:r>
    </w:p>
    <w:p w14:paraId="3D24243E" w14:textId="72864CDC" w:rsidR="002F3D86" w:rsidRPr="007966BB" w:rsidRDefault="002F3D86" w:rsidP="002F3D86">
      <w:pPr>
        <w:pStyle w:val="BodyText"/>
        <w:numPr>
          <w:ilvl w:val="0"/>
          <w:numId w:val="40"/>
        </w:numPr>
        <w:spacing w:after="0"/>
        <w:jc w:val="both"/>
        <w:rPr>
          <w:rFonts w:asciiTheme="majorHAnsi" w:hAnsiTheme="majorHAnsi" w:cstheme="majorHAnsi"/>
          <w:lang w:val="en-US"/>
        </w:rPr>
      </w:pPr>
      <w:proofErr w:type="spellStart"/>
      <w:r w:rsidRPr="007966BB">
        <w:rPr>
          <w:rFonts w:asciiTheme="majorHAnsi" w:hAnsiTheme="majorHAnsi" w:cstheme="majorHAnsi"/>
          <w:lang w:val="en-US"/>
        </w:rPr>
        <w:lastRenderedPageBreak/>
        <w:t>Menaxhimi</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i</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zjarreve</w:t>
      </w:r>
      <w:proofErr w:type="spellEnd"/>
      <w:r w:rsidRPr="007966BB">
        <w:rPr>
          <w:rFonts w:asciiTheme="majorHAnsi" w:hAnsiTheme="majorHAnsi" w:cstheme="majorHAnsi"/>
          <w:lang w:val="en-US"/>
        </w:rPr>
        <w:t xml:space="preserve"> (3 masa </w:t>
      </w:r>
      <w:proofErr w:type="spellStart"/>
      <w:r w:rsidRPr="007966BB">
        <w:rPr>
          <w:rFonts w:asciiTheme="majorHAnsi" w:hAnsiTheme="majorHAnsi" w:cstheme="majorHAnsi"/>
          <w:lang w:val="en-US"/>
        </w:rPr>
        <w:t>specifike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t</w:t>
      </w:r>
      <w:r w:rsidR="007966BB" w:rsidRPr="007966BB">
        <w:rPr>
          <w:rFonts w:asciiTheme="majorHAnsi" w:hAnsiTheme="majorHAnsi" w:cstheme="majorHAnsi"/>
          <w:lang w:val="en-US"/>
        </w:rPr>
        <w:t>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p</w:t>
      </w:r>
      <w:r w:rsidR="007966BB" w:rsidRPr="007966BB">
        <w:rPr>
          <w:rFonts w:asciiTheme="majorHAnsi" w:hAnsiTheme="majorHAnsi" w:cstheme="majorHAnsi"/>
          <w:lang w:val="en-US"/>
        </w:rPr>
        <w:t>ë</w:t>
      </w:r>
      <w:r w:rsidRPr="007966BB">
        <w:rPr>
          <w:rFonts w:asciiTheme="majorHAnsi" w:hAnsiTheme="majorHAnsi" w:cstheme="majorHAnsi"/>
          <w:lang w:val="en-US"/>
        </w:rPr>
        <w:t>rshtatjes</w:t>
      </w:r>
      <w:proofErr w:type="spellEnd"/>
      <w:r w:rsidRPr="007966BB">
        <w:rPr>
          <w:rFonts w:asciiTheme="majorHAnsi" w:hAnsiTheme="majorHAnsi" w:cstheme="majorHAnsi"/>
          <w:lang w:val="en-US"/>
        </w:rPr>
        <w:t xml:space="preserve">) </w:t>
      </w:r>
    </w:p>
    <w:p w14:paraId="2E8F2DA6" w14:textId="5B7036F1" w:rsidR="002F3D86" w:rsidRPr="007966BB" w:rsidRDefault="002F3D86" w:rsidP="002F3D86">
      <w:pPr>
        <w:pStyle w:val="BodyText"/>
        <w:numPr>
          <w:ilvl w:val="0"/>
          <w:numId w:val="40"/>
        </w:numPr>
        <w:spacing w:after="0"/>
        <w:jc w:val="both"/>
        <w:rPr>
          <w:rFonts w:asciiTheme="majorHAnsi" w:hAnsiTheme="majorHAnsi" w:cstheme="majorHAnsi"/>
          <w:lang w:val="en-US"/>
        </w:rPr>
      </w:pPr>
      <w:proofErr w:type="spellStart"/>
      <w:r w:rsidRPr="007966BB">
        <w:rPr>
          <w:rFonts w:asciiTheme="majorHAnsi" w:hAnsiTheme="majorHAnsi" w:cstheme="majorHAnsi"/>
          <w:lang w:val="en-US"/>
        </w:rPr>
        <w:t>Menaxhimi</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i</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specieve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pushtuese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për</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pylltarinë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dhe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kullotat</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pjesa</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specifike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për</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pylltarinë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dhe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kullotat</w:t>
      </w:r>
      <w:proofErr w:type="spellEnd"/>
      <w:r w:rsidRPr="007966BB">
        <w:rPr>
          <w:rFonts w:asciiTheme="majorHAnsi" w:hAnsiTheme="majorHAnsi" w:cstheme="majorHAnsi"/>
          <w:lang w:val="en-US"/>
        </w:rPr>
        <w:t xml:space="preserve"> e 3 </w:t>
      </w:r>
      <w:proofErr w:type="spellStart"/>
      <w:r w:rsidRPr="007966BB">
        <w:rPr>
          <w:rFonts w:asciiTheme="majorHAnsi" w:hAnsiTheme="majorHAnsi" w:cstheme="majorHAnsi"/>
          <w:lang w:val="en-US"/>
        </w:rPr>
        <w:t>masave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origjinale</w:t>
      </w:r>
      <w:proofErr w:type="spellEnd"/>
      <w:r w:rsidRPr="007966BB">
        <w:rPr>
          <w:rFonts w:asciiTheme="majorHAnsi" w:hAnsiTheme="majorHAnsi" w:cstheme="majorHAnsi"/>
          <w:lang w:val="en-US"/>
        </w:rPr>
        <w:t xml:space="preserve">, plus </w:t>
      </w:r>
      <w:proofErr w:type="spellStart"/>
      <w:r w:rsidRPr="007966BB">
        <w:rPr>
          <w:rFonts w:asciiTheme="majorHAnsi" w:hAnsiTheme="majorHAnsi" w:cstheme="majorHAnsi"/>
          <w:lang w:val="en-US"/>
        </w:rPr>
        <w:t>çdo</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masë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shtesë</w:t>
      </w:r>
      <w:proofErr w:type="spellEnd"/>
      <w:r w:rsidRPr="007966BB">
        <w:rPr>
          <w:rFonts w:asciiTheme="majorHAnsi" w:hAnsiTheme="majorHAnsi" w:cstheme="majorHAnsi"/>
          <w:lang w:val="en-US"/>
        </w:rPr>
        <w:t xml:space="preserve"> e </w:t>
      </w:r>
      <w:proofErr w:type="spellStart"/>
      <w:r w:rsidRPr="007966BB">
        <w:rPr>
          <w:rFonts w:asciiTheme="majorHAnsi" w:hAnsiTheme="majorHAnsi" w:cstheme="majorHAnsi"/>
          <w:lang w:val="en-US"/>
        </w:rPr>
        <w:t>identifikuar</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gjatë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konfirmimit</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nga</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palët</w:t>
      </w:r>
      <w:proofErr w:type="spellEnd"/>
      <w:r w:rsidRPr="007966BB">
        <w:rPr>
          <w:rFonts w:asciiTheme="majorHAnsi" w:hAnsiTheme="majorHAnsi" w:cstheme="majorHAnsi"/>
          <w:lang w:val="en-US"/>
        </w:rPr>
        <w:t xml:space="preserve"> e </w:t>
      </w:r>
      <w:proofErr w:type="spellStart"/>
      <w:r w:rsidRPr="007966BB">
        <w:rPr>
          <w:rFonts w:asciiTheme="majorHAnsi" w:hAnsiTheme="majorHAnsi" w:cstheme="majorHAnsi"/>
          <w:lang w:val="en-US"/>
        </w:rPr>
        <w:t>interesuara</w:t>
      </w:r>
      <w:proofErr w:type="spellEnd"/>
      <w:r w:rsidRPr="007966BB">
        <w:rPr>
          <w:rFonts w:asciiTheme="majorHAnsi" w:hAnsiTheme="majorHAnsi" w:cstheme="majorHAnsi"/>
          <w:lang w:val="en-US"/>
        </w:rPr>
        <w:t xml:space="preserve">) </w:t>
      </w:r>
    </w:p>
    <w:p w14:paraId="45D70BF3" w14:textId="7AF8A5CC" w:rsidR="002F3D86" w:rsidRPr="007966BB" w:rsidRDefault="002F3D86" w:rsidP="002F3D86">
      <w:pPr>
        <w:pStyle w:val="BodyText"/>
        <w:numPr>
          <w:ilvl w:val="0"/>
          <w:numId w:val="40"/>
        </w:numPr>
        <w:spacing w:after="0"/>
        <w:jc w:val="both"/>
        <w:rPr>
          <w:rFonts w:asciiTheme="majorHAnsi" w:hAnsiTheme="majorHAnsi" w:cstheme="majorHAnsi"/>
        </w:rPr>
      </w:pPr>
      <w:r w:rsidRPr="007966BB">
        <w:rPr>
          <w:rFonts w:asciiTheme="majorHAnsi" w:hAnsiTheme="majorHAnsi" w:cstheme="majorHAnsi"/>
          <w:lang w:val="en-US"/>
        </w:rPr>
        <w:t xml:space="preserve">Masa </w:t>
      </w:r>
      <w:proofErr w:type="spellStart"/>
      <w:r w:rsidRPr="007966BB">
        <w:rPr>
          <w:rFonts w:asciiTheme="majorHAnsi" w:hAnsiTheme="majorHAnsi" w:cstheme="majorHAnsi"/>
          <w:lang w:val="en-US"/>
        </w:rPr>
        <w:t>të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tjera</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ndërsektoriale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që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synojnë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posaçërisht</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qëndrueshmërinë</w:t>
      </w:r>
      <w:proofErr w:type="spellEnd"/>
      <w:r w:rsidRPr="007966BB">
        <w:rPr>
          <w:rFonts w:asciiTheme="majorHAnsi" w:hAnsiTheme="majorHAnsi" w:cstheme="majorHAnsi"/>
          <w:lang w:val="en-US"/>
        </w:rPr>
        <w:t xml:space="preserve"> e </w:t>
      </w:r>
      <w:proofErr w:type="spellStart"/>
      <w:r w:rsidRPr="007966BB">
        <w:rPr>
          <w:rFonts w:asciiTheme="majorHAnsi" w:hAnsiTheme="majorHAnsi" w:cstheme="majorHAnsi"/>
          <w:lang w:val="en-US"/>
        </w:rPr>
        <w:t>pyjeve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dhe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kullotave</w:t>
      </w:r>
      <w:proofErr w:type="spellEnd"/>
      <w:r w:rsidRPr="007966BB">
        <w:rPr>
          <w:rFonts w:asciiTheme="majorHAnsi" w:hAnsiTheme="majorHAnsi" w:cstheme="majorHAnsi"/>
          <w:lang w:val="en-US"/>
        </w:rPr>
        <w:t xml:space="preserve"> (p.sh., </w:t>
      </w:r>
      <w:proofErr w:type="spellStart"/>
      <w:r w:rsidRPr="007966BB">
        <w:rPr>
          <w:rFonts w:asciiTheme="majorHAnsi" w:hAnsiTheme="majorHAnsi" w:cstheme="majorHAnsi"/>
          <w:lang w:val="en-US"/>
        </w:rPr>
        <w:t>restaurimi</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i</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kullotave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të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degraduara</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integrimi</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i</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agropylltarisë</w:t>
      </w:r>
      <w:proofErr w:type="spellEnd"/>
      <w:r w:rsidRPr="007966BB">
        <w:rPr>
          <w:rFonts w:asciiTheme="majorHAnsi" w:hAnsiTheme="majorHAnsi" w:cstheme="majorHAnsi"/>
          <w:lang w:val="en-US"/>
        </w:rPr>
        <w:t xml:space="preserve">, planet e </w:t>
      </w:r>
      <w:proofErr w:type="spellStart"/>
      <w:r w:rsidRPr="007966BB">
        <w:rPr>
          <w:rFonts w:asciiTheme="majorHAnsi" w:hAnsiTheme="majorHAnsi" w:cstheme="majorHAnsi"/>
          <w:lang w:val="en-US"/>
        </w:rPr>
        <w:t>kullotjes</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së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qëndrueshme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dhe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rritja</w:t>
      </w:r>
      <w:proofErr w:type="spellEnd"/>
      <w:r w:rsidRPr="007966BB">
        <w:rPr>
          <w:rFonts w:asciiTheme="majorHAnsi" w:hAnsiTheme="majorHAnsi" w:cstheme="majorHAnsi"/>
          <w:lang w:val="en-US"/>
        </w:rPr>
        <w:t xml:space="preserve"> e </w:t>
      </w:r>
      <w:proofErr w:type="spellStart"/>
      <w:r w:rsidRPr="007966BB">
        <w:rPr>
          <w:rFonts w:asciiTheme="majorHAnsi" w:hAnsiTheme="majorHAnsi" w:cstheme="majorHAnsi"/>
          <w:lang w:val="en-US"/>
        </w:rPr>
        <w:t>sekuestrimit</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të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karbonit</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në</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peizazhet</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pyjore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dhe</w:t>
      </w:r>
      <w:proofErr w:type="spellEnd"/>
      <w:r w:rsidRPr="007966BB">
        <w:rPr>
          <w:rFonts w:asciiTheme="majorHAnsi" w:hAnsiTheme="majorHAnsi" w:cstheme="majorHAnsi"/>
          <w:lang w:val="en-US"/>
        </w:rPr>
        <w:t xml:space="preserve"> </w:t>
      </w:r>
      <w:proofErr w:type="spellStart"/>
      <w:r w:rsidRPr="007966BB">
        <w:rPr>
          <w:rFonts w:asciiTheme="majorHAnsi" w:hAnsiTheme="majorHAnsi" w:cstheme="majorHAnsi"/>
          <w:lang w:val="en-US"/>
        </w:rPr>
        <w:t>kullotave</w:t>
      </w:r>
      <w:proofErr w:type="spellEnd"/>
      <w:r w:rsidRPr="007966BB">
        <w:rPr>
          <w:rFonts w:asciiTheme="majorHAnsi" w:hAnsiTheme="majorHAnsi" w:cstheme="majorHAnsi"/>
          <w:lang w:val="en-US"/>
        </w:rPr>
        <w:t>)</w:t>
      </w:r>
      <w:r w:rsidRPr="007966BB">
        <w:rPr>
          <w:rFonts w:asciiTheme="majorHAnsi" w:hAnsiTheme="majorHAnsi" w:cstheme="majorHAnsi"/>
          <w:lang w:val="en-US"/>
        </w:rPr>
        <w:t>.</w:t>
      </w:r>
    </w:p>
    <w:p w14:paraId="2EBF20F0" w14:textId="77777777" w:rsidR="005D4B30" w:rsidRPr="007966BB" w:rsidRDefault="005D4B30" w:rsidP="00333C31">
      <w:pPr>
        <w:pStyle w:val="BodyText"/>
        <w:jc w:val="both"/>
        <w:rPr>
          <w:rFonts w:asciiTheme="majorHAnsi" w:hAnsiTheme="majorHAnsi" w:cstheme="majorHAnsi"/>
        </w:rPr>
      </w:pPr>
    </w:p>
    <w:p w14:paraId="1E926660" w14:textId="77777777" w:rsidR="005D4B30" w:rsidRDefault="00DD7ED4" w:rsidP="003C792D">
      <w:pPr>
        <w:pStyle w:val="BodyText"/>
        <w:spacing w:after="0"/>
        <w:jc w:val="both"/>
        <w:rPr>
          <w:rFonts w:asciiTheme="majorHAnsi" w:hAnsiTheme="majorHAnsi" w:cstheme="majorHAnsi"/>
        </w:rPr>
      </w:pPr>
      <w:r>
        <w:rPr>
          <w:rFonts w:asciiTheme="majorHAnsi" w:hAnsiTheme="majorHAnsi"/>
        </w:rPr>
        <w:t xml:space="preserve">Për </w:t>
      </w:r>
      <w:r>
        <w:rPr>
          <w:rFonts w:asciiTheme="majorHAnsi" w:hAnsiTheme="majorHAnsi"/>
          <w:u w:val="single"/>
        </w:rPr>
        <w:t>sektorin e turizmit</w:t>
      </w:r>
      <w:r>
        <w:rPr>
          <w:rFonts w:asciiTheme="majorHAnsi" w:hAnsiTheme="majorHAnsi"/>
        </w:rPr>
        <w:t xml:space="preserve"> masat e identifikuara ndahen si më poshtë: </w:t>
      </w:r>
    </w:p>
    <w:p w14:paraId="174D5A5C" w14:textId="77777777" w:rsidR="005D4B30" w:rsidRDefault="00DD7ED4" w:rsidP="003C792D">
      <w:pPr>
        <w:pStyle w:val="BodyText"/>
        <w:numPr>
          <w:ilvl w:val="0"/>
          <w:numId w:val="33"/>
        </w:numPr>
        <w:spacing w:after="0"/>
        <w:jc w:val="both"/>
        <w:rPr>
          <w:rFonts w:asciiTheme="majorHAnsi" w:hAnsiTheme="majorHAnsi" w:cstheme="majorHAnsi"/>
        </w:rPr>
      </w:pPr>
      <w:r>
        <w:rPr>
          <w:rFonts w:asciiTheme="majorHAnsi" w:hAnsiTheme="majorHAnsi"/>
        </w:rPr>
        <w:t>Të përgjithshme (4 masa specifike)</w:t>
      </w:r>
    </w:p>
    <w:p w14:paraId="118C0B7E" w14:textId="7257332F" w:rsidR="005D4B30" w:rsidRDefault="00DD7ED4" w:rsidP="005D4B30">
      <w:pPr>
        <w:pStyle w:val="BodyText"/>
        <w:numPr>
          <w:ilvl w:val="0"/>
          <w:numId w:val="33"/>
        </w:numPr>
        <w:spacing w:after="0"/>
        <w:jc w:val="both"/>
        <w:rPr>
          <w:rFonts w:asciiTheme="majorHAnsi" w:hAnsiTheme="majorHAnsi" w:cstheme="majorHAnsi"/>
        </w:rPr>
      </w:pPr>
      <w:r>
        <w:rPr>
          <w:rFonts w:asciiTheme="majorHAnsi" w:hAnsiTheme="majorHAnsi"/>
        </w:rPr>
        <w:t>Ndërtesa dhe infrastruktura ekzistuese rezistente ndaj ndryshimeve klimatike (4 masa specifike)</w:t>
      </w:r>
    </w:p>
    <w:p w14:paraId="676AB401" w14:textId="1DD4EE57" w:rsidR="005D4B30" w:rsidRDefault="00DD7ED4" w:rsidP="005D4B30">
      <w:pPr>
        <w:pStyle w:val="BodyText"/>
        <w:numPr>
          <w:ilvl w:val="0"/>
          <w:numId w:val="33"/>
        </w:numPr>
        <w:spacing w:after="0"/>
        <w:jc w:val="both"/>
        <w:rPr>
          <w:rFonts w:asciiTheme="majorHAnsi" w:hAnsiTheme="majorHAnsi" w:cstheme="majorHAnsi"/>
        </w:rPr>
      </w:pPr>
      <w:r>
        <w:rPr>
          <w:rFonts w:asciiTheme="majorHAnsi" w:hAnsiTheme="majorHAnsi"/>
        </w:rPr>
        <w:t>Rivendosja e një brezi të gjelbër përgjatë bregdetit për të mbrojtur tokën nga erozioni dhe për qëllime rekreative (5 masa specifike)</w:t>
      </w:r>
    </w:p>
    <w:p w14:paraId="01DEAEF1" w14:textId="795387AA" w:rsidR="005D4B30" w:rsidRDefault="00DD7ED4" w:rsidP="005D4B30">
      <w:pPr>
        <w:pStyle w:val="BodyText"/>
        <w:numPr>
          <w:ilvl w:val="0"/>
          <w:numId w:val="33"/>
        </w:numPr>
        <w:spacing w:after="0"/>
        <w:jc w:val="both"/>
        <w:rPr>
          <w:rFonts w:asciiTheme="majorHAnsi" w:hAnsiTheme="majorHAnsi" w:cstheme="majorHAnsi"/>
        </w:rPr>
      </w:pPr>
      <w:r>
        <w:rPr>
          <w:rFonts w:asciiTheme="majorHAnsi" w:hAnsiTheme="majorHAnsi"/>
        </w:rPr>
        <w:t xml:space="preserve">Menaxhimi i mbetjeve të gjeneruara nga turizmi (5 masa specifike), </w:t>
      </w:r>
      <w:r>
        <w:rPr>
          <w:rFonts w:asciiTheme="majorHAnsi" w:hAnsiTheme="majorHAnsi"/>
          <w:i/>
          <w:iCs/>
        </w:rPr>
        <w:t>si dhe</w:t>
      </w:r>
    </w:p>
    <w:p w14:paraId="34C640AD" w14:textId="5578767E" w:rsidR="00DD7ED4" w:rsidRPr="00FC75AC" w:rsidRDefault="00DD7ED4" w:rsidP="005D4B30">
      <w:pPr>
        <w:pStyle w:val="BodyText"/>
        <w:numPr>
          <w:ilvl w:val="0"/>
          <w:numId w:val="33"/>
        </w:numPr>
        <w:spacing w:after="0"/>
        <w:jc w:val="both"/>
        <w:rPr>
          <w:rFonts w:asciiTheme="majorHAnsi" w:hAnsiTheme="majorHAnsi" w:cstheme="majorHAnsi"/>
        </w:rPr>
      </w:pPr>
      <w:r>
        <w:rPr>
          <w:rFonts w:asciiTheme="majorHAnsi" w:hAnsiTheme="majorHAnsi"/>
        </w:rPr>
        <w:t>Masa që përfshijnë zonat malore (4 masa specifike).</w:t>
      </w:r>
    </w:p>
    <w:p w14:paraId="4754E632" w14:textId="77777777" w:rsidR="003C792D" w:rsidRDefault="003C792D" w:rsidP="00333C31">
      <w:pPr>
        <w:pStyle w:val="BodyText"/>
        <w:jc w:val="both"/>
        <w:rPr>
          <w:rFonts w:asciiTheme="majorHAnsi" w:hAnsiTheme="majorHAnsi" w:cstheme="majorHAnsi"/>
        </w:rPr>
      </w:pPr>
    </w:p>
    <w:p w14:paraId="1F83E039" w14:textId="2233CF2D" w:rsidR="003C792D" w:rsidRDefault="00DD7ED4" w:rsidP="003C792D">
      <w:pPr>
        <w:pStyle w:val="BodyText"/>
        <w:spacing w:after="0"/>
        <w:jc w:val="both"/>
        <w:rPr>
          <w:rFonts w:asciiTheme="majorHAnsi" w:hAnsiTheme="majorHAnsi" w:cstheme="majorHAnsi"/>
        </w:rPr>
      </w:pPr>
      <w:r>
        <w:rPr>
          <w:rFonts w:asciiTheme="majorHAnsi" w:hAnsiTheme="majorHAnsi"/>
        </w:rPr>
        <w:t xml:space="preserve">Për </w:t>
      </w:r>
      <w:r>
        <w:rPr>
          <w:rFonts w:asciiTheme="majorHAnsi" w:hAnsiTheme="majorHAnsi"/>
          <w:u w:val="single"/>
        </w:rPr>
        <w:t>sektorin e energjisë</w:t>
      </w:r>
      <w:r>
        <w:rPr>
          <w:rFonts w:asciiTheme="majorHAnsi" w:hAnsiTheme="majorHAnsi"/>
        </w:rPr>
        <w:t xml:space="preserve"> masat e identifikuara ndahen si më poshtë: </w:t>
      </w:r>
    </w:p>
    <w:p w14:paraId="0E963943" w14:textId="77777777" w:rsidR="003C792D" w:rsidRDefault="00DD7ED4" w:rsidP="003C792D">
      <w:pPr>
        <w:pStyle w:val="BodyText"/>
        <w:numPr>
          <w:ilvl w:val="0"/>
          <w:numId w:val="34"/>
        </w:numPr>
        <w:spacing w:after="0"/>
        <w:jc w:val="both"/>
        <w:rPr>
          <w:rFonts w:asciiTheme="majorHAnsi" w:hAnsiTheme="majorHAnsi" w:cstheme="majorHAnsi"/>
        </w:rPr>
      </w:pPr>
      <w:r>
        <w:rPr>
          <w:rFonts w:asciiTheme="majorHAnsi" w:hAnsiTheme="majorHAnsi"/>
        </w:rPr>
        <w:t>Të përgjithshme (2 masa specifike)</w:t>
      </w:r>
    </w:p>
    <w:p w14:paraId="7C4177DB" w14:textId="0C2182BF" w:rsidR="003C792D" w:rsidRDefault="00DD7ED4" w:rsidP="003C792D">
      <w:pPr>
        <w:pStyle w:val="BodyText"/>
        <w:numPr>
          <w:ilvl w:val="0"/>
          <w:numId w:val="34"/>
        </w:numPr>
        <w:spacing w:after="0"/>
        <w:jc w:val="both"/>
        <w:rPr>
          <w:rFonts w:asciiTheme="majorHAnsi" w:hAnsiTheme="majorHAnsi" w:cstheme="majorHAnsi"/>
        </w:rPr>
      </w:pPr>
      <w:r>
        <w:rPr>
          <w:rFonts w:asciiTheme="majorHAnsi" w:hAnsiTheme="majorHAnsi"/>
        </w:rPr>
        <w:t>Mobilizimi i burimeve për zbatimin e planit të efiçencës së energjisë (8 masa specifike)</w:t>
      </w:r>
    </w:p>
    <w:p w14:paraId="72AC6250" w14:textId="5A612614" w:rsidR="003C792D" w:rsidRDefault="00DD7ED4" w:rsidP="003C792D">
      <w:pPr>
        <w:pStyle w:val="BodyText"/>
        <w:numPr>
          <w:ilvl w:val="0"/>
          <w:numId w:val="34"/>
        </w:numPr>
        <w:spacing w:after="0"/>
        <w:jc w:val="both"/>
        <w:rPr>
          <w:rFonts w:asciiTheme="majorHAnsi" w:hAnsiTheme="majorHAnsi" w:cstheme="majorHAnsi"/>
        </w:rPr>
      </w:pPr>
      <w:r>
        <w:rPr>
          <w:rFonts w:asciiTheme="majorHAnsi" w:hAnsiTheme="majorHAnsi"/>
        </w:rPr>
        <w:t xml:space="preserve">Kompostimi, duke përfshirë rikuperimin e energjisë nga mbetjet bujqësore – biomasa (3 masa specifike), si dhe </w:t>
      </w:r>
    </w:p>
    <w:p w14:paraId="34C640AE" w14:textId="1578155F" w:rsidR="00DD7ED4" w:rsidRPr="00FC75AC" w:rsidRDefault="00DD7ED4" w:rsidP="003C792D">
      <w:pPr>
        <w:pStyle w:val="BodyText"/>
        <w:numPr>
          <w:ilvl w:val="0"/>
          <w:numId w:val="34"/>
        </w:numPr>
        <w:spacing w:after="0"/>
        <w:jc w:val="both"/>
        <w:rPr>
          <w:rFonts w:asciiTheme="majorHAnsi" w:hAnsiTheme="majorHAnsi" w:cstheme="majorHAnsi"/>
        </w:rPr>
      </w:pPr>
      <w:r>
        <w:rPr>
          <w:rFonts w:asciiTheme="majorHAnsi" w:hAnsiTheme="majorHAnsi"/>
        </w:rPr>
        <w:t>Vlerësimi i prodhimit dhe konsumit të energjisë (6 masa specifike).</w:t>
      </w:r>
      <w:r>
        <w:rPr>
          <w:rFonts w:asciiTheme="majorHAnsi" w:hAnsiTheme="majorHAnsi"/>
        </w:rPr>
        <w:br/>
      </w:r>
    </w:p>
    <w:p w14:paraId="2A645974" w14:textId="77777777" w:rsidR="003C792D" w:rsidRDefault="00DD7ED4" w:rsidP="003C792D">
      <w:pPr>
        <w:pStyle w:val="BodyText"/>
        <w:spacing w:after="0"/>
        <w:jc w:val="both"/>
        <w:rPr>
          <w:rFonts w:asciiTheme="majorHAnsi" w:hAnsiTheme="majorHAnsi" w:cstheme="majorHAnsi"/>
        </w:rPr>
      </w:pPr>
      <w:r>
        <w:rPr>
          <w:rFonts w:asciiTheme="majorHAnsi" w:hAnsiTheme="majorHAnsi"/>
        </w:rPr>
        <w:t xml:space="preserve">Për </w:t>
      </w:r>
      <w:r>
        <w:rPr>
          <w:rFonts w:asciiTheme="majorHAnsi" w:hAnsiTheme="majorHAnsi"/>
          <w:u w:val="single"/>
        </w:rPr>
        <w:t>sektorin e transportit</w:t>
      </w:r>
      <w:r>
        <w:rPr>
          <w:rFonts w:asciiTheme="majorHAnsi" w:hAnsiTheme="majorHAnsi"/>
        </w:rPr>
        <w:t xml:space="preserve"> masat e identifikuara ndahen si më poshtë: </w:t>
      </w:r>
    </w:p>
    <w:p w14:paraId="36A43865" w14:textId="77777777" w:rsidR="003C792D" w:rsidRDefault="00DD7ED4" w:rsidP="003C792D">
      <w:pPr>
        <w:pStyle w:val="BodyText"/>
        <w:numPr>
          <w:ilvl w:val="0"/>
          <w:numId w:val="35"/>
        </w:numPr>
        <w:spacing w:after="0"/>
        <w:jc w:val="both"/>
        <w:rPr>
          <w:rFonts w:asciiTheme="majorHAnsi" w:hAnsiTheme="majorHAnsi" w:cstheme="majorHAnsi"/>
        </w:rPr>
      </w:pPr>
      <w:r>
        <w:rPr>
          <w:rFonts w:asciiTheme="majorHAnsi" w:hAnsiTheme="majorHAnsi"/>
        </w:rPr>
        <w:t>Të përgjithshme (6 masa specifike)</w:t>
      </w:r>
    </w:p>
    <w:p w14:paraId="52149F07" w14:textId="77777777" w:rsidR="003C792D" w:rsidRDefault="00DD7ED4" w:rsidP="003C792D">
      <w:pPr>
        <w:pStyle w:val="BodyText"/>
        <w:numPr>
          <w:ilvl w:val="0"/>
          <w:numId w:val="35"/>
        </w:numPr>
        <w:spacing w:after="0"/>
        <w:jc w:val="both"/>
        <w:rPr>
          <w:rFonts w:asciiTheme="majorHAnsi" w:hAnsiTheme="majorHAnsi" w:cstheme="majorHAnsi"/>
        </w:rPr>
      </w:pPr>
      <w:r>
        <w:rPr>
          <w:rFonts w:asciiTheme="majorHAnsi" w:hAnsiTheme="majorHAnsi"/>
        </w:rPr>
        <w:t xml:space="preserve">Diversifikimi i sektorit të transportit (5 masa specifike), si dhe </w:t>
      </w:r>
    </w:p>
    <w:p w14:paraId="34C640AF" w14:textId="353BABFF" w:rsidR="00DD7ED4" w:rsidRPr="00FC75AC" w:rsidRDefault="00DD7ED4" w:rsidP="003C792D">
      <w:pPr>
        <w:pStyle w:val="BodyText"/>
        <w:numPr>
          <w:ilvl w:val="0"/>
          <w:numId w:val="35"/>
        </w:numPr>
        <w:spacing w:after="0"/>
        <w:jc w:val="both"/>
        <w:rPr>
          <w:rFonts w:asciiTheme="majorHAnsi" w:hAnsiTheme="majorHAnsi" w:cstheme="majorHAnsi"/>
        </w:rPr>
      </w:pPr>
      <w:r>
        <w:rPr>
          <w:rFonts w:asciiTheme="majorHAnsi" w:hAnsiTheme="majorHAnsi"/>
        </w:rPr>
        <w:t>Masa të tjera (2 masa specifike).</w:t>
      </w:r>
      <w:r>
        <w:rPr>
          <w:rFonts w:asciiTheme="majorHAnsi" w:hAnsiTheme="majorHAnsi"/>
        </w:rPr>
        <w:br/>
      </w:r>
    </w:p>
    <w:p w14:paraId="2B8697DA" w14:textId="77777777" w:rsidR="003C792D" w:rsidRDefault="00DD7ED4" w:rsidP="003C792D">
      <w:pPr>
        <w:pStyle w:val="BodyText"/>
        <w:spacing w:after="0"/>
        <w:jc w:val="both"/>
        <w:rPr>
          <w:rFonts w:asciiTheme="majorHAnsi" w:hAnsiTheme="majorHAnsi" w:cstheme="majorHAnsi"/>
        </w:rPr>
      </w:pPr>
      <w:r>
        <w:rPr>
          <w:rFonts w:asciiTheme="majorHAnsi" w:hAnsiTheme="majorHAnsi"/>
        </w:rPr>
        <w:t xml:space="preserve">Për </w:t>
      </w:r>
      <w:r>
        <w:rPr>
          <w:rFonts w:asciiTheme="majorHAnsi" w:hAnsiTheme="majorHAnsi"/>
          <w:u w:val="single"/>
        </w:rPr>
        <w:t>sektorin e zhvillimit urban</w:t>
      </w:r>
      <w:r>
        <w:rPr>
          <w:rFonts w:asciiTheme="majorHAnsi" w:hAnsiTheme="majorHAnsi"/>
        </w:rPr>
        <w:t xml:space="preserve"> masat e identifikuara ndahen si më poshtë: </w:t>
      </w:r>
    </w:p>
    <w:p w14:paraId="774DB57D" w14:textId="3B536266" w:rsidR="003C792D" w:rsidRDefault="00DD7ED4" w:rsidP="003C792D">
      <w:pPr>
        <w:pStyle w:val="BodyText"/>
        <w:numPr>
          <w:ilvl w:val="0"/>
          <w:numId w:val="36"/>
        </w:numPr>
        <w:spacing w:after="0"/>
        <w:jc w:val="both"/>
        <w:rPr>
          <w:rFonts w:asciiTheme="majorHAnsi" w:hAnsiTheme="majorHAnsi" w:cstheme="majorHAnsi"/>
        </w:rPr>
      </w:pPr>
      <w:r>
        <w:rPr>
          <w:rFonts w:asciiTheme="majorHAnsi" w:hAnsiTheme="majorHAnsi"/>
        </w:rPr>
        <w:t>Të përgjithshme (4 masa specifike)</w:t>
      </w:r>
    </w:p>
    <w:p w14:paraId="2C651B1E" w14:textId="602932AF" w:rsidR="003C792D" w:rsidRDefault="00DD7ED4" w:rsidP="003C792D">
      <w:pPr>
        <w:pStyle w:val="BodyText"/>
        <w:numPr>
          <w:ilvl w:val="0"/>
          <w:numId w:val="36"/>
        </w:numPr>
        <w:spacing w:after="0"/>
        <w:jc w:val="both"/>
        <w:rPr>
          <w:rFonts w:asciiTheme="majorHAnsi" w:hAnsiTheme="majorHAnsi" w:cstheme="majorHAnsi"/>
        </w:rPr>
      </w:pPr>
      <w:r>
        <w:rPr>
          <w:rFonts w:asciiTheme="majorHAnsi" w:hAnsiTheme="majorHAnsi"/>
        </w:rPr>
        <w:t>Ndërtesa dhe infrastruktura ekzistuese rezistente ndaj ndryshimeve klimatike (4 masa specifike)</w:t>
      </w:r>
    </w:p>
    <w:p w14:paraId="1A2C591A" w14:textId="77777777" w:rsidR="00CD5608" w:rsidRDefault="00DD7ED4" w:rsidP="00333C31">
      <w:pPr>
        <w:pStyle w:val="BodyText"/>
        <w:numPr>
          <w:ilvl w:val="0"/>
          <w:numId w:val="36"/>
        </w:numPr>
        <w:spacing w:after="0"/>
        <w:jc w:val="both"/>
        <w:rPr>
          <w:rFonts w:asciiTheme="majorHAnsi" w:hAnsiTheme="majorHAnsi" w:cstheme="majorHAnsi"/>
        </w:rPr>
      </w:pPr>
      <w:r>
        <w:rPr>
          <w:rFonts w:asciiTheme="majorHAnsi" w:hAnsiTheme="majorHAnsi"/>
        </w:rPr>
        <w:t>Promovimi i zgjidhjeve të bazuara në natyrë në mjediset urbane (5 masa specifike).</w:t>
      </w:r>
    </w:p>
    <w:p w14:paraId="3DACF9D6" w14:textId="64C2A477" w:rsidR="005A042B" w:rsidRPr="00CD5608" w:rsidRDefault="005A042B" w:rsidP="00CD5608">
      <w:pPr>
        <w:pStyle w:val="BodyText"/>
        <w:spacing w:after="0"/>
        <w:jc w:val="both"/>
        <w:rPr>
          <w:rFonts w:asciiTheme="majorHAnsi" w:hAnsiTheme="majorHAnsi" w:cstheme="majorHAnsi"/>
        </w:rPr>
      </w:pPr>
      <w:r>
        <w:rPr>
          <w:rFonts w:asciiTheme="majorHAnsi" w:hAnsiTheme="majorHAnsi"/>
        </w:rPr>
        <w:t>Për të përkthyer planifikimin në veprime të frytshme, nevojitet një qasje holistike për të integruar sektorin privat, përkatësisht zhvillimin e ekosistemeve novatore që shërbejnë si katalizator për shërbimet klimatike në sektorin privat. Për më tepër, për shkak të mungesës së financimit për masat e përshtatjes, është parashikuar një kornizë e posaçme financimi për aspektet klimatike për të përshkallëzuar projektet e suksesshme pilot të PbE-ve/ZbN-ve dhe për të mbledhur bashkëfinancime. Diçka e tillë do të forconte lidershipin e vendit, do të rriste kthimin nga investimet për përshtatjen dhe do të ndërlidhte masat vendore me objektivat kombëtarë.</w:t>
      </w:r>
    </w:p>
    <w:p w14:paraId="0E5B2AE7" w14:textId="42005D6A" w:rsidR="00DD7AB7" w:rsidRPr="00DD7AB7" w:rsidRDefault="005A042B" w:rsidP="00333C31">
      <w:pPr>
        <w:pStyle w:val="BodyText"/>
        <w:jc w:val="both"/>
        <w:rPr>
          <w:rFonts w:asciiTheme="majorHAnsi" w:hAnsiTheme="majorHAnsi" w:cstheme="majorHAnsi"/>
        </w:rPr>
      </w:pPr>
      <w:r>
        <w:rPr>
          <w:rFonts w:asciiTheme="majorHAnsi" w:hAnsiTheme="majorHAnsi"/>
        </w:rPr>
        <w:lastRenderedPageBreak/>
        <w:t>Masat/veprimet e mëposhtme të përshtatjes janë identifikuar gjatë zhvillimit të Planeve Vendore të Përshtatjes në 8 fusha për periudhën 2022-2024, të renditura sipas bashkisë dhe llojit të veprimeve të përshtatjes (Tabela 10).</w:t>
      </w:r>
    </w:p>
    <w:p w14:paraId="4024FE94" w14:textId="18B0F034" w:rsidR="00AC2EEA" w:rsidRDefault="00AC2EEA" w:rsidP="00AC2EEA">
      <w:pPr>
        <w:pStyle w:val="Caption"/>
        <w:keepNext/>
      </w:pPr>
      <w:bookmarkStart w:id="65" w:name="_Toc216778893"/>
      <w:r>
        <w:t xml:space="preserve">Tabela </w:t>
      </w:r>
      <w:r w:rsidR="00D0533E">
        <w:fldChar w:fldCharType="begin"/>
      </w:r>
      <w:r w:rsidR="00D0533E">
        <w:instrText xml:space="preserve"> SEQ Table \* ARABIC </w:instrText>
      </w:r>
      <w:r w:rsidR="00D0533E">
        <w:fldChar w:fldCharType="separate"/>
      </w:r>
      <w:r w:rsidR="00D0533E">
        <w:rPr>
          <w:noProof/>
        </w:rPr>
        <w:t>10</w:t>
      </w:r>
      <w:r w:rsidR="00D0533E">
        <w:rPr>
          <w:noProof/>
        </w:rPr>
        <w:fldChar w:fldCharType="end"/>
      </w:r>
      <w:r>
        <w:t>: Masat e përshtatjes sipas bashkisë</w:t>
      </w:r>
      <w:bookmarkEnd w:id="65"/>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5"/>
        <w:gridCol w:w="748"/>
        <w:gridCol w:w="847"/>
        <w:gridCol w:w="456"/>
        <w:gridCol w:w="1187"/>
        <w:gridCol w:w="608"/>
        <w:gridCol w:w="672"/>
        <w:gridCol w:w="814"/>
        <w:gridCol w:w="617"/>
        <w:gridCol w:w="806"/>
      </w:tblGrid>
      <w:tr w:rsidR="00DD7ED4" w:rsidRPr="00FC75AC" w14:paraId="34C640BC" w14:textId="77777777" w:rsidTr="002660F5">
        <w:trPr>
          <w:cantSplit/>
          <w:trHeight w:val="1134"/>
          <w:tblHeader/>
          <w:tblCellSpacing w:w="15" w:type="dxa"/>
        </w:trPr>
        <w:tc>
          <w:tcPr>
            <w:tcW w:w="0" w:type="auto"/>
            <w:vAlign w:val="center"/>
            <w:hideMark/>
          </w:tcPr>
          <w:p w14:paraId="34C640B2" w14:textId="3D7D8140" w:rsidR="00DD7ED4" w:rsidRPr="00FC75AC" w:rsidRDefault="0011532E" w:rsidP="0011532E">
            <w:pPr>
              <w:pStyle w:val="BodyText"/>
              <w:jc w:val="center"/>
              <w:rPr>
                <w:rFonts w:asciiTheme="majorHAnsi" w:hAnsiTheme="majorHAnsi" w:cstheme="majorHAnsi"/>
                <w:b/>
                <w:bCs/>
              </w:rPr>
            </w:pPr>
            <w:r>
              <w:rPr>
                <w:rFonts w:asciiTheme="majorHAnsi" w:hAnsiTheme="majorHAnsi"/>
                <w:b/>
                <w:bCs/>
              </w:rPr>
              <w:t>Bashkia/Lloji dhe numri i masave të përshtatjes</w:t>
            </w:r>
          </w:p>
        </w:tc>
        <w:tc>
          <w:tcPr>
            <w:tcW w:w="0" w:type="auto"/>
            <w:vAlign w:val="center"/>
            <w:hideMark/>
          </w:tcPr>
          <w:p w14:paraId="34C640B3" w14:textId="77777777" w:rsidR="00DD7ED4" w:rsidRPr="00FC75AC" w:rsidRDefault="00DD7ED4" w:rsidP="0011532E">
            <w:pPr>
              <w:pStyle w:val="BodyText"/>
              <w:jc w:val="center"/>
              <w:rPr>
                <w:rFonts w:asciiTheme="majorHAnsi" w:hAnsiTheme="majorHAnsi" w:cstheme="majorHAnsi"/>
                <w:b/>
                <w:bCs/>
              </w:rPr>
            </w:pPr>
            <w:r>
              <w:rPr>
                <w:rFonts w:asciiTheme="majorHAnsi" w:hAnsiTheme="majorHAnsi"/>
                <w:b/>
                <w:bCs/>
              </w:rPr>
              <w:t>Durrës</w:t>
            </w:r>
          </w:p>
        </w:tc>
        <w:tc>
          <w:tcPr>
            <w:tcW w:w="0" w:type="auto"/>
            <w:vAlign w:val="center"/>
            <w:hideMark/>
          </w:tcPr>
          <w:p w14:paraId="34C640B4" w14:textId="77777777" w:rsidR="00DD7ED4" w:rsidRPr="00FC75AC" w:rsidRDefault="00DD7ED4" w:rsidP="0011532E">
            <w:pPr>
              <w:pStyle w:val="BodyText"/>
              <w:jc w:val="center"/>
              <w:rPr>
                <w:rFonts w:asciiTheme="majorHAnsi" w:hAnsiTheme="majorHAnsi" w:cstheme="majorHAnsi"/>
                <w:b/>
                <w:bCs/>
              </w:rPr>
            </w:pPr>
            <w:r>
              <w:rPr>
                <w:rFonts w:asciiTheme="majorHAnsi" w:hAnsiTheme="majorHAnsi"/>
                <w:b/>
                <w:bCs/>
              </w:rPr>
              <w:t>Elbasan</w:t>
            </w:r>
          </w:p>
        </w:tc>
        <w:tc>
          <w:tcPr>
            <w:tcW w:w="0" w:type="auto"/>
            <w:vAlign w:val="center"/>
            <w:hideMark/>
          </w:tcPr>
          <w:p w14:paraId="34C640B5" w14:textId="77777777" w:rsidR="00DD7ED4" w:rsidRPr="00FC75AC" w:rsidRDefault="00DD7ED4" w:rsidP="0011532E">
            <w:pPr>
              <w:pStyle w:val="BodyText"/>
              <w:jc w:val="center"/>
              <w:rPr>
                <w:rFonts w:asciiTheme="majorHAnsi" w:hAnsiTheme="majorHAnsi" w:cstheme="majorHAnsi"/>
                <w:b/>
                <w:bCs/>
              </w:rPr>
            </w:pPr>
            <w:r>
              <w:rPr>
                <w:rFonts w:asciiTheme="majorHAnsi" w:hAnsiTheme="majorHAnsi"/>
                <w:b/>
                <w:bCs/>
              </w:rPr>
              <w:t>Fier</w:t>
            </w:r>
          </w:p>
        </w:tc>
        <w:tc>
          <w:tcPr>
            <w:tcW w:w="0" w:type="auto"/>
            <w:vAlign w:val="center"/>
            <w:hideMark/>
          </w:tcPr>
          <w:p w14:paraId="34C640B6" w14:textId="77777777" w:rsidR="00DD7ED4" w:rsidRPr="00FC75AC" w:rsidRDefault="00DD7ED4" w:rsidP="0011532E">
            <w:pPr>
              <w:pStyle w:val="BodyText"/>
              <w:jc w:val="center"/>
              <w:rPr>
                <w:rFonts w:asciiTheme="majorHAnsi" w:hAnsiTheme="majorHAnsi" w:cstheme="majorHAnsi"/>
                <w:b/>
                <w:bCs/>
              </w:rPr>
            </w:pPr>
            <w:r>
              <w:rPr>
                <w:rFonts w:asciiTheme="majorHAnsi" w:hAnsiTheme="majorHAnsi"/>
                <w:b/>
                <w:bCs/>
              </w:rPr>
              <w:t>Gjirokastër</w:t>
            </w:r>
          </w:p>
        </w:tc>
        <w:tc>
          <w:tcPr>
            <w:tcW w:w="0" w:type="auto"/>
            <w:vAlign w:val="center"/>
            <w:hideMark/>
          </w:tcPr>
          <w:p w14:paraId="34C640B7" w14:textId="77777777" w:rsidR="00DD7ED4" w:rsidRPr="00FC75AC" w:rsidRDefault="00DD7ED4" w:rsidP="0011532E">
            <w:pPr>
              <w:pStyle w:val="BodyText"/>
              <w:jc w:val="center"/>
              <w:rPr>
                <w:rFonts w:asciiTheme="majorHAnsi" w:hAnsiTheme="majorHAnsi" w:cstheme="majorHAnsi"/>
                <w:b/>
                <w:bCs/>
              </w:rPr>
            </w:pPr>
            <w:r>
              <w:rPr>
                <w:rFonts w:asciiTheme="majorHAnsi" w:hAnsiTheme="majorHAnsi"/>
                <w:b/>
                <w:bCs/>
              </w:rPr>
              <w:t>Krujë</w:t>
            </w:r>
          </w:p>
        </w:tc>
        <w:tc>
          <w:tcPr>
            <w:tcW w:w="0" w:type="auto"/>
            <w:vAlign w:val="center"/>
            <w:hideMark/>
          </w:tcPr>
          <w:p w14:paraId="34C640B8" w14:textId="77777777" w:rsidR="00DD7ED4" w:rsidRPr="00FC75AC" w:rsidRDefault="00DD7ED4" w:rsidP="0011532E">
            <w:pPr>
              <w:pStyle w:val="BodyText"/>
              <w:jc w:val="center"/>
              <w:rPr>
                <w:rFonts w:asciiTheme="majorHAnsi" w:hAnsiTheme="majorHAnsi" w:cstheme="majorHAnsi"/>
                <w:b/>
                <w:bCs/>
              </w:rPr>
            </w:pPr>
            <w:r>
              <w:rPr>
                <w:rFonts w:asciiTheme="majorHAnsi" w:hAnsiTheme="majorHAnsi"/>
                <w:b/>
                <w:bCs/>
              </w:rPr>
              <w:t>Kukës</w:t>
            </w:r>
          </w:p>
        </w:tc>
        <w:tc>
          <w:tcPr>
            <w:tcW w:w="0" w:type="auto"/>
            <w:vAlign w:val="center"/>
            <w:hideMark/>
          </w:tcPr>
          <w:p w14:paraId="34C640B9" w14:textId="77777777" w:rsidR="00DD7ED4" w:rsidRPr="00FC75AC" w:rsidRDefault="00DD7ED4" w:rsidP="0011532E">
            <w:pPr>
              <w:pStyle w:val="BodyText"/>
              <w:jc w:val="center"/>
              <w:rPr>
                <w:rFonts w:asciiTheme="majorHAnsi" w:hAnsiTheme="majorHAnsi" w:cstheme="majorHAnsi"/>
                <w:b/>
                <w:bCs/>
              </w:rPr>
            </w:pPr>
            <w:r>
              <w:rPr>
                <w:rFonts w:asciiTheme="majorHAnsi" w:hAnsiTheme="majorHAnsi"/>
                <w:b/>
                <w:bCs/>
              </w:rPr>
              <w:t>Përmet</w:t>
            </w:r>
          </w:p>
        </w:tc>
        <w:tc>
          <w:tcPr>
            <w:tcW w:w="0" w:type="auto"/>
            <w:vAlign w:val="center"/>
            <w:hideMark/>
          </w:tcPr>
          <w:p w14:paraId="34C640BA" w14:textId="77777777" w:rsidR="00DD7ED4" w:rsidRPr="00FC75AC" w:rsidRDefault="00DD7ED4" w:rsidP="0011532E">
            <w:pPr>
              <w:pStyle w:val="BodyText"/>
              <w:jc w:val="center"/>
              <w:rPr>
                <w:rFonts w:asciiTheme="majorHAnsi" w:hAnsiTheme="majorHAnsi" w:cstheme="majorHAnsi"/>
                <w:b/>
                <w:bCs/>
              </w:rPr>
            </w:pPr>
            <w:r>
              <w:rPr>
                <w:rFonts w:asciiTheme="majorHAnsi" w:hAnsiTheme="majorHAnsi"/>
                <w:b/>
                <w:bCs/>
              </w:rPr>
              <w:t>Vlorë</w:t>
            </w:r>
          </w:p>
        </w:tc>
        <w:tc>
          <w:tcPr>
            <w:tcW w:w="0" w:type="auto"/>
            <w:vAlign w:val="center"/>
            <w:hideMark/>
          </w:tcPr>
          <w:p w14:paraId="34C640BB" w14:textId="77777777" w:rsidR="00DD7ED4" w:rsidRPr="00FC75AC" w:rsidRDefault="00DD7ED4" w:rsidP="0011532E">
            <w:pPr>
              <w:pStyle w:val="BodyText"/>
              <w:jc w:val="center"/>
              <w:rPr>
                <w:rFonts w:asciiTheme="majorHAnsi" w:hAnsiTheme="majorHAnsi" w:cstheme="majorHAnsi"/>
                <w:b/>
                <w:bCs/>
              </w:rPr>
            </w:pPr>
            <w:r>
              <w:rPr>
                <w:rFonts w:asciiTheme="majorHAnsi" w:hAnsiTheme="majorHAnsi"/>
                <w:b/>
                <w:bCs/>
              </w:rPr>
              <w:t>TOTALI</w:t>
            </w:r>
          </w:p>
        </w:tc>
      </w:tr>
      <w:tr w:rsidR="00DD7ED4" w:rsidRPr="00FC75AC" w14:paraId="34C640C7" w14:textId="77777777" w:rsidTr="00CE45B5">
        <w:trPr>
          <w:tblCellSpacing w:w="15" w:type="dxa"/>
        </w:trPr>
        <w:tc>
          <w:tcPr>
            <w:tcW w:w="0" w:type="auto"/>
            <w:vAlign w:val="center"/>
            <w:hideMark/>
          </w:tcPr>
          <w:p w14:paraId="34C640BD" w14:textId="77777777" w:rsidR="00DD7ED4" w:rsidRPr="00FC75AC" w:rsidRDefault="00DD7ED4" w:rsidP="00927CC9">
            <w:pPr>
              <w:pStyle w:val="BodyText"/>
              <w:rPr>
                <w:rFonts w:asciiTheme="majorHAnsi" w:hAnsiTheme="majorHAnsi" w:cstheme="majorHAnsi"/>
              </w:rPr>
            </w:pPr>
            <w:r>
              <w:rPr>
                <w:rFonts w:asciiTheme="majorHAnsi" w:hAnsiTheme="majorHAnsi"/>
              </w:rPr>
              <w:t>Njerëzit, shëndeti, komunitetet dhe ndërtimet</w:t>
            </w:r>
          </w:p>
        </w:tc>
        <w:tc>
          <w:tcPr>
            <w:tcW w:w="0" w:type="auto"/>
            <w:vAlign w:val="center"/>
            <w:hideMark/>
          </w:tcPr>
          <w:p w14:paraId="34C640BE"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32</w:t>
            </w:r>
          </w:p>
        </w:tc>
        <w:tc>
          <w:tcPr>
            <w:tcW w:w="0" w:type="auto"/>
            <w:vAlign w:val="center"/>
            <w:hideMark/>
          </w:tcPr>
          <w:p w14:paraId="34C640BF"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26</w:t>
            </w:r>
          </w:p>
        </w:tc>
        <w:tc>
          <w:tcPr>
            <w:tcW w:w="0" w:type="auto"/>
            <w:vAlign w:val="center"/>
            <w:hideMark/>
          </w:tcPr>
          <w:p w14:paraId="34C640C0"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15</w:t>
            </w:r>
          </w:p>
        </w:tc>
        <w:tc>
          <w:tcPr>
            <w:tcW w:w="0" w:type="auto"/>
            <w:vAlign w:val="center"/>
            <w:hideMark/>
          </w:tcPr>
          <w:p w14:paraId="34C640C1"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17</w:t>
            </w:r>
          </w:p>
        </w:tc>
        <w:tc>
          <w:tcPr>
            <w:tcW w:w="0" w:type="auto"/>
            <w:vAlign w:val="center"/>
            <w:hideMark/>
          </w:tcPr>
          <w:p w14:paraId="34C640C2"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15</w:t>
            </w:r>
          </w:p>
        </w:tc>
        <w:tc>
          <w:tcPr>
            <w:tcW w:w="0" w:type="auto"/>
            <w:vAlign w:val="center"/>
            <w:hideMark/>
          </w:tcPr>
          <w:p w14:paraId="34C640C3"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15</w:t>
            </w:r>
          </w:p>
        </w:tc>
        <w:tc>
          <w:tcPr>
            <w:tcW w:w="0" w:type="auto"/>
            <w:vAlign w:val="center"/>
            <w:hideMark/>
          </w:tcPr>
          <w:p w14:paraId="34C640C4"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18</w:t>
            </w:r>
          </w:p>
        </w:tc>
        <w:tc>
          <w:tcPr>
            <w:tcW w:w="0" w:type="auto"/>
            <w:vAlign w:val="center"/>
            <w:hideMark/>
          </w:tcPr>
          <w:p w14:paraId="34C640C5"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21</w:t>
            </w:r>
          </w:p>
        </w:tc>
        <w:tc>
          <w:tcPr>
            <w:tcW w:w="0" w:type="auto"/>
            <w:vAlign w:val="center"/>
            <w:hideMark/>
          </w:tcPr>
          <w:p w14:paraId="34C640C6"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159</w:t>
            </w:r>
          </w:p>
        </w:tc>
      </w:tr>
      <w:tr w:rsidR="00DD7ED4" w:rsidRPr="00FC75AC" w14:paraId="34C640D2" w14:textId="77777777" w:rsidTr="00CE45B5">
        <w:trPr>
          <w:tblCellSpacing w:w="15" w:type="dxa"/>
        </w:trPr>
        <w:tc>
          <w:tcPr>
            <w:tcW w:w="0" w:type="auto"/>
            <w:vAlign w:val="center"/>
            <w:hideMark/>
          </w:tcPr>
          <w:p w14:paraId="34C640C8" w14:textId="77777777" w:rsidR="00DD7ED4" w:rsidRPr="00FC75AC" w:rsidRDefault="00DD7ED4" w:rsidP="00927CC9">
            <w:pPr>
              <w:pStyle w:val="BodyText"/>
              <w:rPr>
                <w:rFonts w:asciiTheme="majorHAnsi" w:hAnsiTheme="majorHAnsi" w:cstheme="majorHAnsi"/>
              </w:rPr>
            </w:pPr>
            <w:r>
              <w:rPr>
                <w:rFonts w:asciiTheme="majorHAnsi" w:hAnsiTheme="majorHAnsi"/>
              </w:rPr>
              <w:t>Infrastruktura</w:t>
            </w:r>
          </w:p>
        </w:tc>
        <w:tc>
          <w:tcPr>
            <w:tcW w:w="0" w:type="auto"/>
            <w:vAlign w:val="center"/>
            <w:hideMark/>
          </w:tcPr>
          <w:p w14:paraId="34C640C9"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21</w:t>
            </w:r>
          </w:p>
        </w:tc>
        <w:tc>
          <w:tcPr>
            <w:tcW w:w="0" w:type="auto"/>
            <w:vAlign w:val="center"/>
            <w:hideMark/>
          </w:tcPr>
          <w:p w14:paraId="34C640CA"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17</w:t>
            </w:r>
          </w:p>
        </w:tc>
        <w:tc>
          <w:tcPr>
            <w:tcW w:w="0" w:type="auto"/>
            <w:vAlign w:val="center"/>
            <w:hideMark/>
          </w:tcPr>
          <w:p w14:paraId="34C640CB"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11</w:t>
            </w:r>
          </w:p>
        </w:tc>
        <w:tc>
          <w:tcPr>
            <w:tcW w:w="0" w:type="auto"/>
            <w:vAlign w:val="center"/>
            <w:hideMark/>
          </w:tcPr>
          <w:p w14:paraId="34C640CC"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10</w:t>
            </w:r>
          </w:p>
        </w:tc>
        <w:tc>
          <w:tcPr>
            <w:tcW w:w="0" w:type="auto"/>
            <w:vAlign w:val="center"/>
            <w:hideMark/>
          </w:tcPr>
          <w:p w14:paraId="34C640CD"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10</w:t>
            </w:r>
          </w:p>
        </w:tc>
        <w:tc>
          <w:tcPr>
            <w:tcW w:w="0" w:type="auto"/>
            <w:vAlign w:val="center"/>
            <w:hideMark/>
          </w:tcPr>
          <w:p w14:paraId="34C640CE"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16</w:t>
            </w:r>
          </w:p>
        </w:tc>
        <w:tc>
          <w:tcPr>
            <w:tcW w:w="0" w:type="auto"/>
            <w:vAlign w:val="center"/>
            <w:hideMark/>
          </w:tcPr>
          <w:p w14:paraId="34C640CF"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10</w:t>
            </w:r>
          </w:p>
        </w:tc>
        <w:tc>
          <w:tcPr>
            <w:tcW w:w="0" w:type="auto"/>
            <w:vAlign w:val="center"/>
            <w:hideMark/>
          </w:tcPr>
          <w:p w14:paraId="34C640D0"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12</w:t>
            </w:r>
          </w:p>
        </w:tc>
        <w:tc>
          <w:tcPr>
            <w:tcW w:w="0" w:type="auto"/>
            <w:vAlign w:val="center"/>
            <w:hideMark/>
          </w:tcPr>
          <w:p w14:paraId="34C640D1"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107</w:t>
            </w:r>
          </w:p>
        </w:tc>
      </w:tr>
      <w:tr w:rsidR="00DD7ED4" w:rsidRPr="00FC75AC" w14:paraId="34C640DD" w14:textId="77777777" w:rsidTr="00CE45B5">
        <w:trPr>
          <w:tblCellSpacing w:w="15" w:type="dxa"/>
        </w:trPr>
        <w:tc>
          <w:tcPr>
            <w:tcW w:w="0" w:type="auto"/>
            <w:vAlign w:val="center"/>
            <w:hideMark/>
          </w:tcPr>
          <w:p w14:paraId="34C640D3" w14:textId="77777777" w:rsidR="00DD7ED4" w:rsidRPr="00FC75AC" w:rsidRDefault="00DD7ED4" w:rsidP="00927CC9">
            <w:pPr>
              <w:pStyle w:val="BodyText"/>
              <w:rPr>
                <w:rFonts w:asciiTheme="majorHAnsi" w:hAnsiTheme="majorHAnsi" w:cstheme="majorHAnsi"/>
              </w:rPr>
            </w:pPr>
            <w:r>
              <w:rPr>
                <w:rFonts w:asciiTheme="majorHAnsi" w:hAnsiTheme="majorHAnsi"/>
              </w:rPr>
              <w:t>Biznesi dhe industria</w:t>
            </w:r>
          </w:p>
        </w:tc>
        <w:tc>
          <w:tcPr>
            <w:tcW w:w="0" w:type="auto"/>
            <w:vAlign w:val="center"/>
            <w:hideMark/>
          </w:tcPr>
          <w:p w14:paraId="34C640D4"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31</w:t>
            </w:r>
          </w:p>
        </w:tc>
        <w:tc>
          <w:tcPr>
            <w:tcW w:w="0" w:type="auto"/>
            <w:vAlign w:val="center"/>
            <w:hideMark/>
          </w:tcPr>
          <w:p w14:paraId="34C640D5"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14</w:t>
            </w:r>
          </w:p>
        </w:tc>
        <w:tc>
          <w:tcPr>
            <w:tcW w:w="0" w:type="auto"/>
            <w:vAlign w:val="center"/>
            <w:hideMark/>
          </w:tcPr>
          <w:p w14:paraId="34C640D6"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12</w:t>
            </w:r>
          </w:p>
        </w:tc>
        <w:tc>
          <w:tcPr>
            <w:tcW w:w="0" w:type="auto"/>
            <w:vAlign w:val="center"/>
            <w:hideMark/>
          </w:tcPr>
          <w:p w14:paraId="34C640D7"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12</w:t>
            </w:r>
          </w:p>
        </w:tc>
        <w:tc>
          <w:tcPr>
            <w:tcW w:w="0" w:type="auto"/>
            <w:vAlign w:val="center"/>
            <w:hideMark/>
          </w:tcPr>
          <w:p w14:paraId="34C640D8"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8</w:t>
            </w:r>
          </w:p>
        </w:tc>
        <w:tc>
          <w:tcPr>
            <w:tcW w:w="0" w:type="auto"/>
            <w:vAlign w:val="center"/>
            <w:hideMark/>
          </w:tcPr>
          <w:p w14:paraId="34C640D9"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18</w:t>
            </w:r>
          </w:p>
        </w:tc>
        <w:tc>
          <w:tcPr>
            <w:tcW w:w="0" w:type="auto"/>
            <w:vAlign w:val="center"/>
            <w:hideMark/>
          </w:tcPr>
          <w:p w14:paraId="34C640DA"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14</w:t>
            </w:r>
          </w:p>
        </w:tc>
        <w:tc>
          <w:tcPr>
            <w:tcW w:w="0" w:type="auto"/>
            <w:vAlign w:val="center"/>
            <w:hideMark/>
          </w:tcPr>
          <w:p w14:paraId="34C640DB"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13</w:t>
            </w:r>
          </w:p>
        </w:tc>
        <w:tc>
          <w:tcPr>
            <w:tcW w:w="0" w:type="auto"/>
            <w:vAlign w:val="center"/>
            <w:hideMark/>
          </w:tcPr>
          <w:p w14:paraId="34C640DC"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122</w:t>
            </w:r>
          </w:p>
        </w:tc>
      </w:tr>
      <w:tr w:rsidR="00DD7ED4" w:rsidRPr="00FC75AC" w14:paraId="34C640E8" w14:textId="77777777" w:rsidTr="00CE45B5">
        <w:trPr>
          <w:tblCellSpacing w:w="15" w:type="dxa"/>
        </w:trPr>
        <w:tc>
          <w:tcPr>
            <w:tcW w:w="0" w:type="auto"/>
            <w:vAlign w:val="center"/>
            <w:hideMark/>
          </w:tcPr>
          <w:p w14:paraId="34C640DE" w14:textId="77777777" w:rsidR="00DD7ED4" w:rsidRPr="00FC75AC" w:rsidRDefault="00DD7ED4" w:rsidP="00927CC9">
            <w:pPr>
              <w:pStyle w:val="BodyText"/>
              <w:rPr>
                <w:rFonts w:asciiTheme="majorHAnsi" w:hAnsiTheme="majorHAnsi" w:cstheme="majorHAnsi"/>
              </w:rPr>
            </w:pPr>
            <w:r>
              <w:rPr>
                <w:rFonts w:asciiTheme="majorHAnsi" w:hAnsiTheme="majorHAnsi"/>
              </w:rPr>
              <w:t>Mjedisi natyror</w:t>
            </w:r>
          </w:p>
        </w:tc>
        <w:tc>
          <w:tcPr>
            <w:tcW w:w="0" w:type="auto"/>
            <w:vAlign w:val="center"/>
            <w:hideMark/>
          </w:tcPr>
          <w:p w14:paraId="34C640DF"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31</w:t>
            </w:r>
          </w:p>
        </w:tc>
        <w:tc>
          <w:tcPr>
            <w:tcW w:w="0" w:type="auto"/>
            <w:vAlign w:val="center"/>
            <w:hideMark/>
          </w:tcPr>
          <w:p w14:paraId="34C640E0"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10</w:t>
            </w:r>
          </w:p>
        </w:tc>
        <w:tc>
          <w:tcPr>
            <w:tcW w:w="0" w:type="auto"/>
            <w:vAlign w:val="center"/>
            <w:hideMark/>
          </w:tcPr>
          <w:p w14:paraId="34C640E1"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7</w:t>
            </w:r>
          </w:p>
        </w:tc>
        <w:tc>
          <w:tcPr>
            <w:tcW w:w="0" w:type="auto"/>
            <w:vAlign w:val="center"/>
            <w:hideMark/>
          </w:tcPr>
          <w:p w14:paraId="34C640E2"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10</w:t>
            </w:r>
          </w:p>
        </w:tc>
        <w:tc>
          <w:tcPr>
            <w:tcW w:w="0" w:type="auto"/>
            <w:vAlign w:val="center"/>
            <w:hideMark/>
          </w:tcPr>
          <w:p w14:paraId="34C640E3"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7</w:t>
            </w:r>
          </w:p>
        </w:tc>
        <w:tc>
          <w:tcPr>
            <w:tcW w:w="0" w:type="auto"/>
            <w:vAlign w:val="center"/>
            <w:hideMark/>
          </w:tcPr>
          <w:p w14:paraId="34C640E4"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16</w:t>
            </w:r>
          </w:p>
        </w:tc>
        <w:tc>
          <w:tcPr>
            <w:tcW w:w="0" w:type="auto"/>
            <w:vAlign w:val="center"/>
            <w:hideMark/>
          </w:tcPr>
          <w:p w14:paraId="34C640E5"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16</w:t>
            </w:r>
          </w:p>
        </w:tc>
        <w:tc>
          <w:tcPr>
            <w:tcW w:w="0" w:type="auto"/>
            <w:vAlign w:val="center"/>
            <w:hideMark/>
          </w:tcPr>
          <w:p w14:paraId="34C640E6"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16</w:t>
            </w:r>
          </w:p>
        </w:tc>
        <w:tc>
          <w:tcPr>
            <w:tcW w:w="0" w:type="auto"/>
            <w:vAlign w:val="center"/>
            <w:hideMark/>
          </w:tcPr>
          <w:p w14:paraId="34C640E7"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113</w:t>
            </w:r>
          </w:p>
        </w:tc>
      </w:tr>
      <w:tr w:rsidR="00DD7ED4" w:rsidRPr="00FC75AC" w14:paraId="34C640F3" w14:textId="77777777" w:rsidTr="00CE45B5">
        <w:trPr>
          <w:tblCellSpacing w:w="15" w:type="dxa"/>
        </w:trPr>
        <w:tc>
          <w:tcPr>
            <w:tcW w:w="0" w:type="auto"/>
            <w:vAlign w:val="center"/>
            <w:hideMark/>
          </w:tcPr>
          <w:p w14:paraId="34C640E9" w14:textId="77777777" w:rsidR="00DD7ED4" w:rsidRPr="00FC75AC" w:rsidRDefault="00DD7ED4" w:rsidP="00927CC9">
            <w:pPr>
              <w:pStyle w:val="BodyText"/>
              <w:rPr>
                <w:rFonts w:asciiTheme="majorHAnsi" w:hAnsiTheme="majorHAnsi" w:cstheme="majorHAnsi"/>
              </w:rPr>
            </w:pPr>
            <w:r>
              <w:rPr>
                <w:rFonts w:asciiTheme="majorHAnsi" w:hAnsiTheme="majorHAnsi"/>
              </w:rPr>
              <w:t>Asetet dhe operacionet bashkiake</w:t>
            </w:r>
          </w:p>
        </w:tc>
        <w:tc>
          <w:tcPr>
            <w:tcW w:w="0" w:type="auto"/>
            <w:vAlign w:val="center"/>
            <w:hideMark/>
          </w:tcPr>
          <w:p w14:paraId="34C640EA"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17</w:t>
            </w:r>
          </w:p>
        </w:tc>
        <w:tc>
          <w:tcPr>
            <w:tcW w:w="0" w:type="auto"/>
            <w:vAlign w:val="center"/>
            <w:hideMark/>
          </w:tcPr>
          <w:p w14:paraId="34C640EB"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11</w:t>
            </w:r>
          </w:p>
        </w:tc>
        <w:tc>
          <w:tcPr>
            <w:tcW w:w="0" w:type="auto"/>
            <w:vAlign w:val="center"/>
            <w:hideMark/>
          </w:tcPr>
          <w:p w14:paraId="34C640EC"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10</w:t>
            </w:r>
          </w:p>
        </w:tc>
        <w:tc>
          <w:tcPr>
            <w:tcW w:w="0" w:type="auto"/>
            <w:vAlign w:val="center"/>
            <w:hideMark/>
          </w:tcPr>
          <w:p w14:paraId="34C640ED"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11</w:t>
            </w:r>
          </w:p>
        </w:tc>
        <w:tc>
          <w:tcPr>
            <w:tcW w:w="0" w:type="auto"/>
            <w:vAlign w:val="center"/>
            <w:hideMark/>
          </w:tcPr>
          <w:p w14:paraId="34C640EE"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10</w:t>
            </w:r>
          </w:p>
        </w:tc>
        <w:tc>
          <w:tcPr>
            <w:tcW w:w="0" w:type="auto"/>
            <w:vAlign w:val="center"/>
            <w:hideMark/>
          </w:tcPr>
          <w:p w14:paraId="34C640EF"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3</w:t>
            </w:r>
          </w:p>
        </w:tc>
        <w:tc>
          <w:tcPr>
            <w:tcW w:w="0" w:type="auto"/>
            <w:vAlign w:val="center"/>
            <w:hideMark/>
          </w:tcPr>
          <w:p w14:paraId="34C640F0"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12</w:t>
            </w:r>
          </w:p>
        </w:tc>
        <w:tc>
          <w:tcPr>
            <w:tcW w:w="0" w:type="auto"/>
            <w:vAlign w:val="center"/>
            <w:hideMark/>
          </w:tcPr>
          <w:p w14:paraId="34C640F1"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11</w:t>
            </w:r>
          </w:p>
        </w:tc>
        <w:tc>
          <w:tcPr>
            <w:tcW w:w="0" w:type="auto"/>
            <w:vAlign w:val="center"/>
            <w:hideMark/>
          </w:tcPr>
          <w:p w14:paraId="34C640F2"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85</w:t>
            </w:r>
          </w:p>
        </w:tc>
      </w:tr>
      <w:tr w:rsidR="00DD7ED4" w:rsidRPr="00FC75AC" w14:paraId="34C640FE" w14:textId="77777777" w:rsidTr="00CE45B5">
        <w:trPr>
          <w:tblCellSpacing w:w="15" w:type="dxa"/>
        </w:trPr>
        <w:tc>
          <w:tcPr>
            <w:tcW w:w="0" w:type="auto"/>
            <w:vAlign w:val="center"/>
            <w:hideMark/>
          </w:tcPr>
          <w:p w14:paraId="34C640F4" w14:textId="77777777" w:rsidR="00DD7ED4" w:rsidRPr="00FC75AC" w:rsidRDefault="00DD7ED4" w:rsidP="00927CC9">
            <w:pPr>
              <w:pStyle w:val="BodyText"/>
              <w:rPr>
                <w:rFonts w:asciiTheme="majorHAnsi" w:hAnsiTheme="majorHAnsi" w:cstheme="majorHAnsi"/>
              </w:rPr>
            </w:pPr>
            <w:r>
              <w:rPr>
                <w:rFonts w:asciiTheme="majorHAnsi" w:hAnsiTheme="majorHAnsi"/>
              </w:rPr>
              <w:t>Qeverisja, monitorimi dhe vlerësimi</w:t>
            </w:r>
          </w:p>
        </w:tc>
        <w:tc>
          <w:tcPr>
            <w:tcW w:w="0" w:type="auto"/>
            <w:vAlign w:val="center"/>
            <w:hideMark/>
          </w:tcPr>
          <w:p w14:paraId="34C640F5"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14</w:t>
            </w:r>
          </w:p>
        </w:tc>
        <w:tc>
          <w:tcPr>
            <w:tcW w:w="0" w:type="auto"/>
            <w:vAlign w:val="center"/>
            <w:hideMark/>
          </w:tcPr>
          <w:p w14:paraId="34C640F6"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15</w:t>
            </w:r>
          </w:p>
        </w:tc>
        <w:tc>
          <w:tcPr>
            <w:tcW w:w="0" w:type="auto"/>
            <w:vAlign w:val="center"/>
            <w:hideMark/>
          </w:tcPr>
          <w:p w14:paraId="34C640F7"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4</w:t>
            </w:r>
          </w:p>
        </w:tc>
        <w:tc>
          <w:tcPr>
            <w:tcW w:w="0" w:type="auto"/>
            <w:vAlign w:val="center"/>
            <w:hideMark/>
          </w:tcPr>
          <w:p w14:paraId="34C640F8"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13</w:t>
            </w:r>
          </w:p>
        </w:tc>
        <w:tc>
          <w:tcPr>
            <w:tcW w:w="0" w:type="auto"/>
            <w:vAlign w:val="center"/>
            <w:hideMark/>
          </w:tcPr>
          <w:p w14:paraId="34C640F9"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13</w:t>
            </w:r>
          </w:p>
        </w:tc>
        <w:tc>
          <w:tcPr>
            <w:tcW w:w="0" w:type="auto"/>
            <w:vAlign w:val="center"/>
            <w:hideMark/>
          </w:tcPr>
          <w:p w14:paraId="34C640FA"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13</w:t>
            </w:r>
          </w:p>
        </w:tc>
        <w:tc>
          <w:tcPr>
            <w:tcW w:w="0" w:type="auto"/>
            <w:vAlign w:val="center"/>
            <w:hideMark/>
          </w:tcPr>
          <w:p w14:paraId="34C640FB"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13</w:t>
            </w:r>
          </w:p>
        </w:tc>
        <w:tc>
          <w:tcPr>
            <w:tcW w:w="0" w:type="auto"/>
            <w:vAlign w:val="center"/>
            <w:hideMark/>
          </w:tcPr>
          <w:p w14:paraId="34C640FC"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12</w:t>
            </w:r>
          </w:p>
        </w:tc>
        <w:tc>
          <w:tcPr>
            <w:tcW w:w="0" w:type="auto"/>
            <w:vAlign w:val="center"/>
            <w:hideMark/>
          </w:tcPr>
          <w:p w14:paraId="34C640FD" w14:textId="77777777" w:rsidR="00DD7ED4" w:rsidRPr="00FC75AC" w:rsidRDefault="00DD7ED4" w:rsidP="003C792D">
            <w:pPr>
              <w:pStyle w:val="BodyText"/>
              <w:jc w:val="center"/>
              <w:rPr>
                <w:rFonts w:asciiTheme="majorHAnsi" w:hAnsiTheme="majorHAnsi" w:cstheme="majorHAnsi"/>
              </w:rPr>
            </w:pPr>
            <w:r>
              <w:rPr>
                <w:rFonts w:asciiTheme="majorHAnsi" w:hAnsiTheme="majorHAnsi"/>
              </w:rPr>
              <w:t>97</w:t>
            </w:r>
          </w:p>
        </w:tc>
      </w:tr>
      <w:tr w:rsidR="00DD7ED4" w:rsidRPr="00FC75AC" w14:paraId="34C64109" w14:textId="77777777" w:rsidTr="00CE45B5">
        <w:trPr>
          <w:tblCellSpacing w:w="15" w:type="dxa"/>
        </w:trPr>
        <w:tc>
          <w:tcPr>
            <w:tcW w:w="0" w:type="auto"/>
            <w:vAlign w:val="center"/>
            <w:hideMark/>
          </w:tcPr>
          <w:p w14:paraId="34C640FF" w14:textId="77777777" w:rsidR="00DD7ED4" w:rsidRPr="003C792D" w:rsidRDefault="00DD7ED4" w:rsidP="00927CC9">
            <w:pPr>
              <w:pStyle w:val="BodyText"/>
              <w:rPr>
                <w:rFonts w:asciiTheme="majorHAnsi" w:hAnsiTheme="majorHAnsi" w:cstheme="majorHAnsi"/>
                <w:b/>
                <w:bCs/>
              </w:rPr>
            </w:pPr>
            <w:r>
              <w:rPr>
                <w:rFonts w:asciiTheme="majorHAnsi" w:hAnsiTheme="majorHAnsi"/>
                <w:b/>
                <w:bCs/>
              </w:rPr>
              <w:t>TOTALI</w:t>
            </w:r>
          </w:p>
        </w:tc>
        <w:tc>
          <w:tcPr>
            <w:tcW w:w="0" w:type="auto"/>
            <w:vAlign w:val="center"/>
            <w:hideMark/>
          </w:tcPr>
          <w:p w14:paraId="34C64100" w14:textId="77777777" w:rsidR="00DD7ED4" w:rsidRPr="003C792D" w:rsidRDefault="00DD7ED4" w:rsidP="003C792D">
            <w:pPr>
              <w:pStyle w:val="BodyText"/>
              <w:jc w:val="center"/>
              <w:rPr>
                <w:rFonts w:asciiTheme="majorHAnsi" w:hAnsiTheme="majorHAnsi" w:cstheme="majorHAnsi"/>
                <w:b/>
                <w:bCs/>
              </w:rPr>
            </w:pPr>
            <w:r>
              <w:rPr>
                <w:rFonts w:asciiTheme="majorHAnsi" w:hAnsiTheme="majorHAnsi"/>
                <w:b/>
                <w:bCs/>
              </w:rPr>
              <w:t>146</w:t>
            </w:r>
          </w:p>
        </w:tc>
        <w:tc>
          <w:tcPr>
            <w:tcW w:w="0" w:type="auto"/>
            <w:vAlign w:val="center"/>
            <w:hideMark/>
          </w:tcPr>
          <w:p w14:paraId="34C64101" w14:textId="77777777" w:rsidR="00DD7ED4" w:rsidRPr="003C792D" w:rsidRDefault="00DD7ED4" w:rsidP="003C792D">
            <w:pPr>
              <w:pStyle w:val="BodyText"/>
              <w:jc w:val="center"/>
              <w:rPr>
                <w:rFonts w:asciiTheme="majorHAnsi" w:hAnsiTheme="majorHAnsi" w:cstheme="majorHAnsi"/>
                <w:b/>
                <w:bCs/>
              </w:rPr>
            </w:pPr>
            <w:r>
              <w:rPr>
                <w:rFonts w:asciiTheme="majorHAnsi" w:hAnsiTheme="majorHAnsi"/>
                <w:b/>
                <w:bCs/>
              </w:rPr>
              <w:t>93</w:t>
            </w:r>
          </w:p>
        </w:tc>
        <w:tc>
          <w:tcPr>
            <w:tcW w:w="0" w:type="auto"/>
            <w:vAlign w:val="center"/>
            <w:hideMark/>
          </w:tcPr>
          <w:p w14:paraId="34C64102" w14:textId="77777777" w:rsidR="00DD7ED4" w:rsidRPr="003C792D" w:rsidRDefault="00DD7ED4" w:rsidP="003C792D">
            <w:pPr>
              <w:pStyle w:val="BodyText"/>
              <w:jc w:val="center"/>
              <w:rPr>
                <w:rFonts w:asciiTheme="majorHAnsi" w:hAnsiTheme="majorHAnsi" w:cstheme="majorHAnsi"/>
                <w:b/>
                <w:bCs/>
              </w:rPr>
            </w:pPr>
            <w:r>
              <w:rPr>
                <w:rFonts w:asciiTheme="majorHAnsi" w:hAnsiTheme="majorHAnsi"/>
                <w:b/>
                <w:bCs/>
              </w:rPr>
              <w:t>59</w:t>
            </w:r>
          </w:p>
        </w:tc>
        <w:tc>
          <w:tcPr>
            <w:tcW w:w="0" w:type="auto"/>
            <w:vAlign w:val="center"/>
            <w:hideMark/>
          </w:tcPr>
          <w:p w14:paraId="34C64103" w14:textId="77777777" w:rsidR="00DD7ED4" w:rsidRPr="003C792D" w:rsidRDefault="00DD7ED4" w:rsidP="003C792D">
            <w:pPr>
              <w:pStyle w:val="BodyText"/>
              <w:jc w:val="center"/>
              <w:rPr>
                <w:rFonts w:asciiTheme="majorHAnsi" w:hAnsiTheme="majorHAnsi" w:cstheme="majorHAnsi"/>
                <w:b/>
                <w:bCs/>
              </w:rPr>
            </w:pPr>
            <w:r>
              <w:rPr>
                <w:rFonts w:asciiTheme="majorHAnsi" w:hAnsiTheme="majorHAnsi"/>
                <w:b/>
                <w:bCs/>
              </w:rPr>
              <w:t>73</w:t>
            </w:r>
          </w:p>
        </w:tc>
        <w:tc>
          <w:tcPr>
            <w:tcW w:w="0" w:type="auto"/>
            <w:vAlign w:val="center"/>
            <w:hideMark/>
          </w:tcPr>
          <w:p w14:paraId="34C64104" w14:textId="77777777" w:rsidR="00DD7ED4" w:rsidRPr="003C792D" w:rsidRDefault="00DD7ED4" w:rsidP="003C792D">
            <w:pPr>
              <w:pStyle w:val="BodyText"/>
              <w:jc w:val="center"/>
              <w:rPr>
                <w:rFonts w:asciiTheme="majorHAnsi" w:hAnsiTheme="majorHAnsi" w:cstheme="majorHAnsi"/>
                <w:b/>
                <w:bCs/>
              </w:rPr>
            </w:pPr>
            <w:r>
              <w:rPr>
                <w:rFonts w:asciiTheme="majorHAnsi" w:hAnsiTheme="majorHAnsi"/>
                <w:b/>
                <w:bCs/>
              </w:rPr>
              <w:t>63</w:t>
            </w:r>
          </w:p>
        </w:tc>
        <w:tc>
          <w:tcPr>
            <w:tcW w:w="0" w:type="auto"/>
            <w:vAlign w:val="center"/>
            <w:hideMark/>
          </w:tcPr>
          <w:p w14:paraId="34C64105" w14:textId="77777777" w:rsidR="00DD7ED4" w:rsidRPr="003C792D" w:rsidRDefault="00DD7ED4" w:rsidP="003C792D">
            <w:pPr>
              <w:pStyle w:val="BodyText"/>
              <w:jc w:val="center"/>
              <w:rPr>
                <w:rFonts w:asciiTheme="majorHAnsi" w:hAnsiTheme="majorHAnsi" w:cstheme="majorHAnsi"/>
                <w:b/>
                <w:bCs/>
              </w:rPr>
            </w:pPr>
            <w:r>
              <w:rPr>
                <w:rFonts w:asciiTheme="majorHAnsi" w:hAnsiTheme="majorHAnsi"/>
                <w:b/>
                <w:bCs/>
              </w:rPr>
              <w:t>81</w:t>
            </w:r>
          </w:p>
        </w:tc>
        <w:tc>
          <w:tcPr>
            <w:tcW w:w="0" w:type="auto"/>
            <w:vAlign w:val="center"/>
            <w:hideMark/>
          </w:tcPr>
          <w:p w14:paraId="34C64106" w14:textId="77777777" w:rsidR="00DD7ED4" w:rsidRPr="003C792D" w:rsidRDefault="00DD7ED4" w:rsidP="003C792D">
            <w:pPr>
              <w:pStyle w:val="BodyText"/>
              <w:jc w:val="center"/>
              <w:rPr>
                <w:rFonts w:asciiTheme="majorHAnsi" w:hAnsiTheme="majorHAnsi" w:cstheme="majorHAnsi"/>
                <w:b/>
                <w:bCs/>
              </w:rPr>
            </w:pPr>
            <w:r>
              <w:rPr>
                <w:rFonts w:asciiTheme="majorHAnsi" w:hAnsiTheme="majorHAnsi"/>
                <w:b/>
                <w:bCs/>
              </w:rPr>
              <w:t>83</w:t>
            </w:r>
          </w:p>
        </w:tc>
        <w:tc>
          <w:tcPr>
            <w:tcW w:w="0" w:type="auto"/>
            <w:vAlign w:val="center"/>
            <w:hideMark/>
          </w:tcPr>
          <w:p w14:paraId="34C64107" w14:textId="77777777" w:rsidR="00DD7ED4" w:rsidRPr="003C792D" w:rsidRDefault="00DD7ED4" w:rsidP="003C792D">
            <w:pPr>
              <w:pStyle w:val="BodyText"/>
              <w:jc w:val="center"/>
              <w:rPr>
                <w:rFonts w:asciiTheme="majorHAnsi" w:hAnsiTheme="majorHAnsi" w:cstheme="majorHAnsi"/>
                <w:b/>
                <w:bCs/>
              </w:rPr>
            </w:pPr>
            <w:r>
              <w:rPr>
                <w:rFonts w:asciiTheme="majorHAnsi" w:hAnsiTheme="majorHAnsi"/>
                <w:b/>
                <w:bCs/>
              </w:rPr>
              <w:t>85</w:t>
            </w:r>
          </w:p>
        </w:tc>
        <w:tc>
          <w:tcPr>
            <w:tcW w:w="0" w:type="auto"/>
            <w:vAlign w:val="center"/>
            <w:hideMark/>
          </w:tcPr>
          <w:p w14:paraId="34C64108" w14:textId="77777777" w:rsidR="00DD7ED4" w:rsidRPr="003C792D" w:rsidRDefault="00DD7ED4" w:rsidP="003C792D">
            <w:pPr>
              <w:pStyle w:val="BodyText"/>
              <w:jc w:val="center"/>
              <w:rPr>
                <w:rFonts w:asciiTheme="majorHAnsi" w:hAnsiTheme="majorHAnsi" w:cstheme="majorHAnsi"/>
                <w:b/>
                <w:bCs/>
              </w:rPr>
            </w:pPr>
            <w:r>
              <w:rPr>
                <w:rFonts w:asciiTheme="majorHAnsi" w:hAnsiTheme="majorHAnsi"/>
                <w:b/>
                <w:bCs/>
              </w:rPr>
              <w:t>683</w:t>
            </w:r>
          </w:p>
        </w:tc>
      </w:tr>
    </w:tbl>
    <w:p w14:paraId="34C6410A" w14:textId="77777777" w:rsidR="00DD7ED4" w:rsidRDefault="00DD7ED4" w:rsidP="00DD7ED4">
      <w:pPr>
        <w:pStyle w:val="BodyText"/>
        <w:jc w:val="both"/>
        <w:rPr>
          <w:rFonts w:asciiTheme="majorHAnsi" w:hAnsiTheme="majorHAnsi" w:cstheme="majorHAnsi"/>
        </w:rPr>
      </w:pPr>
    </w:p>
    <w:p w14:paraId="2E1DB09C" w14:textId="77777777" w:rsidR="00BD1999" w:rsidRDefault="00DD7ED4" w:rsidP="00DD7ED4">
      <w:pPr>
        <w:pStyle w:val="BodyText"/>
        <w:jc w:val="both"/>
        <w:rPr>
          <w:rFonts w:asciiTheme="majorHAnsi" w:hAnsiTheme="majorHAnsi" w:cstheme="majorHAnsi"/>
        </w:rPr>
      </w:pPr>
      <w:r>
        <w:rPr>
          <w:rFonts w:asciiTheme="majorHAnsi" w:hAnsiTheme="majorHAnsi"/>
        </w:rPr>
        <w:t>Mesatarisht janë identifikuar rreth 85 masa përshtatjeje për çdo bashki (numri më i madh masave në Durrës dhe më i ulëti në Fier), ku vendin e parë e zënë masat për "</w:t>
      </w:r>
      <w:r>
        <w:rPr>
          <w:rFonts w:asciiTheme="majorHAnsi" w:hAnsiTheme="majorHAnsi"/>
          <w:i/>
          <w:iCs/>
        </w:rPr>
        <w:t>njerëzit, shëndetin, komunitetet dhe ndërtesat</w:t>
      </w:r>
      <w:r>
        <w:rPr>
          <w:rFonts w:asciiTheme="majorHAnsi" w:hAnsiTheme="majorHAnsi"/>
        </w:rPr>
        <w:t>", pasuar nga masat që lidhen me "</w:t>
      </w:r>
      <w:r>
        <w:rPr>
          <w:rFonts w:asciiTheme="majorHAnsi" w:hAnsiTheme="majorHAnsi"/>
          <w:i/>
          <w:iCs/>
        </w:rPr>
        <w:t>biznesin dhe industrinë</w:t>
      </w:r>
      <w:r>
        <w:rPr>
          <w:rFonts w:asciiTheme="majorHAnsi" w:hAnsiTheme="majorHAnsi"/>
        </w:rPr>
        <w:t>" në vend të dytë, "</w:t>
      </w:r>
      <w:r>
        <w:rPr>
          <w:rFonts w:asciiTheme="majorHAnsi" w:hAnsiTheme="majorHAnsi"/>
          <w:i/>
          <w:iCs/>
        </w:rPr>
        <w:t>mjedisi natyror</w:t>
      </w:r>
      <w:r>
        <w:rPr>
          <w:rFonts w:asciiTheme="majorHAnsi" w:hAnsiTheme="majorHAnsi"/>
        </w:rPr>
        <w:t>" në vend të tretë dhe "</w:t>
      </w:r>
      <w:r>
        <w:rPr>
          <w:rFonts w:asciiTheme="majorHAnsi" w:hAnsiTheme="majorHAnsi"/>
          <w:i/>
          <w:iCs/>
        </w:rPr>
        <w:t>Infrastruktura</w:t>
      </w:r>
      <w:r>
        <w:rPr>
          <w:rFonts w:asciiTheme="majorHAnsi" w:hAnsiTheme="majorHAnsi"/>
        </w:rPr>
        <w:t>" në vend të katërt. Masat e përshtatjes lidhur me "</w:t>
      </w:r>
      <w:r>
        <w:rPr>
          <w:rFonts w:asciiTheme="majorHAnsi" w:hAnsiTheme="majorHAnsi"/>
          <w:i/>
          <w:iCs/>
        </w:rPr>
        <w:t>qeverisjen, monitorimin dhe vlerësimin</w:t>
      </w:r>
      <w:r>
        <w:rPr>
          <w:rFonts w:asciiTheme="majorHAnsi" w:hAnsiTheme="majorHAnsi"/>
        </w:rPr>
        <w:t>" dhe "</w:t>
      </w:r>
      <w:r>
        <w:rPr>
          <w:rFonts w:asciiTheme="majorHAnsi" w:hAnsiTheme="majorHAnsi"/>
          <w:i/>
          <w:iCs/>
        </w:rPr>
        <w:t>asetet dhe operacionet bashkiake</w:t>
      </w:r>
      <w:r>
        <w:rPr>
          <w:rFonts w:asciiTheme="majorHAnsi" w:hAnsiTheme="majorHAnsi"/>
        </w:rPr>
        <w:t xml:space="preserve">" kanë numrin më të ulët. </w:t>
      </w:r>
    </w:p>
    <w:p w14:paraId="34C6410B" w14:textId="36904F17" w:rsidR="00DD7ED4" w:rsidRDefault="005A042B" w:rsidP="00DD7ED4">
      <w:pPr>
        <w:pStyle w:val="BodyText"/>
        <w:jc w:val="both"/>
        <w:rPr>
          <w:rFonts w:asciiTheme="majorHAnsi" w:hAnsiTheme="majorHAnsi" w:cstheme="majorHAnsi"/>
        </w:rPr>
      </w:pPr>
      <w:r>
        <w:rPr>
          <w:rFonts w:asciiTheme="majorHAnsi" w:hAnsiTheme="majorHAnsi"/>
        </w:rPr>
        <w:t xml:space="preserve">66 masat e përshtatjes të përfshira në këtë KKP pasqyrojnë një analizë me shumë kritere (AShK) të realizuar sipas procesit të PKP-së së Shqipërisë dhe të validuar me grupet e interesit në nivel kombëtar. Masat u renditën mes kritereve të fizibilitetit, harmonizimit dhe përfitimeve. Masat me nivel prioriteti "Shumë të lartë" dhe "Të lartë" kalojnë në fazën e zbatimit; lista përfundimtare përbëhet nga masa në fushat në vijim: bujqësia/pyjet (21), turizmi (11), zhvillimi urban (9), energjia (8), transporti (7) dhe ndërhyrjet ndërsektoriale (10). Për sa i përket masave infrastrukturore të gjelbra/gri, të cilat kërkojnë investime të mëdha, u krye një analizë kosto-përfitimi (CBA) për një nëngrup prej 21 masash, duke përdorur të dhëna kombëtare për kostot të validuara me ekspertët sektorialë. Kur ka qenë e nevojshme, janë përdorur të dhëna nga sistemi i informacionit gjeografik (GIS), ndërsa për të llogaritur përfitimet janë përdorur vlerat rajonale referencë. Analiza, e cila buron nga Plani Kombëtar i Përshtatjes, raporton vlerën aktuale neto (NPV) dhe raportet kosto-përfitim, si dhe përfshin teste të ndjeshmërisë; rezultatet e </w:t>
      </w:r>
      <w:r>
        <w:rPr>
          <w:rFonts w:asciiTheme="majorHAnsi" w:hAnsiTheme="majorHAnsi"/>
        </w:rPr>
        <w:lastRenderedPageBreak/>
        <w:t>detajuara paraqiten në dokumentet informuese të masave të PKP-së dhe informojnë fazat e investimeve dhe menaxhimin e rrezikut të përshkruar këtu.</w:t>
      </w:r>
    </w:p>
    <w:p w14:paraId="2359D6B6" w14:textId="77777777" w:rsidR="004E2440" w:rsidRDefault="00A203A3" w:rsidP="001949BB">
      <w:pPr>
        <w:pStyle w:val="BodyText"/>
        <w:jc w:val="both"/>
        <w:rPr>
          <w:rFonts w:asciiTheme="majorHAnsi" w:hAnsiTheme="majorHAnsi" w:cstheme="majorHAnsi"/>
        </w:rPr>
      </w:pPr>
      <w:r>
        <w:rPr>
          <w:rFonts w:asciiTheme="majorHAnsi" w:hAnsiTheme="majorHAnsi"/>
        </w:rPr>
        <w:t xml:space="preserve">Vlerësimet e kostove për masat e përshtatjes, me vlerë totale prej 9,8 miliardë dollarë (2026–2036) janë përftuar nga PKP-ja, si dhe janë krahasuar me PKEK-në për të garantuar përputhshmërinë. Këto vlerësime përfshijnë kostot e zbatimit të drejtpërdrejtë dhe kostot e transaksioneve (p.sh. zhvillimi i strategjisë, studimet e fizibilitetit, ngritja e kapaciteteve). Për shkak të mungesës së kostove të detajuara në shumë strategji sektoriale, metodologjitë mbështeten te konsultimet me ekspertët, të dhënat historike të projekteve dhe vlerat referencë të kostove të harmonizuara me BE-në. Burimet e detajuara dhe supozimet janë dokumentuar në shtojcat e PKP-së (Korrik 2024) dhe PKEK-së (2025) për të mbështetur Ministrinë e Financave në planifikimin e buxhetit dhe për të lehtësuar proceset e miratimit. </w:t>
      </w:r>
    </w:p>
    <w:p w14:paraId="46FB2B2F" w14:textId="77777777" w:rsidR="004E2440" w:rsidRDefault="001949BB" w:rsidP="001949BB">
      <w:pPr>
        <w:pStyle w:val="BodyText"/>
        <w:jc w:val="both"/>
        <w:rPr>
          <w:rFonts w:asciiTheme="majorHAnsi" w:hAnsiTheme="majorHAnsi" w:cstheme="majorHAnsi"/>
        </w:rPr>
      </w:pPr>
      <w:r>
        <w:rPr>
          <w:rFonts w:asciiTheme="majorHAnsi" w:hAnsiTheme="majorHAnsi"/>
        </w:rPr>
        <w:t xml:space="preserve">Masat kategorizohen si të buta, të gjelbra, ose gri. </w:t>
      </w:r>
    </w:p>
    <w:p w14:paraId="6CA1D90E" w14:textId="77777777" w:rsidR="004E2440" w:rsidRDefault="008E78EC" w:rsidP="004E2440">
      <w:pPr>
        <w:pStyle w:val="BodyText"/>
        <w:numPr>
          <w:ilvl w:val="0"/>
          <w:numId w:val="39"/>
        </w:numPr>
        <w:jc w:val="both"/>
        <w:rPr>
          <w:rFonts w:asciiTheme="majorHAnsi" w:hAnsiTheme="majorHAnsi" w:cstheme="majorHAnsi"/>
        </w:rPr>
      </w:pPr>
      <w:r>
        <w:rPr>
          <w:rFonts w:asciiTheme="majorHAnsi" w:hAnsiTheme="majorHAnsi"/>
          <w:b/>
          <w:bCs/>
        </w:rPr>
        <w:t>Masat e buta</w:t>
      </w:r>
      <w:r>
        <w:rPr>
          <w:rFonts w:asciiTheme="majorHAnsi" w:hAnsiTheme="majorHAnsi"/>
        </w:rPr>
        <w:t xml:space="preserve"> përfshijnë ndërhyrjet jostrukturore që synojnë përmirësimin e njohurive, qeverisjes dhe gatishmërisë. Shembujt përfshijnë hulumtimet dhe vlerësimet e rrezikut, instrumentet politike dhe rregullatore, ngritjen e kapaciteteve, mjetet financiare, planifikimin hapësinor strategjik, infrastrukturën rezistente ndaj ndryshimeve klimatike, si dhe planet e përgjigjes ndaj emergjencave. </w:t>
      </w:r>
    </w:p>
    <w:p w14:paraId="646E17FE" w14:textId="77777777" w:rsidR="004E2440" w:rsidRDefault="008E78EC" w:rsidP="004E2440">
      <w:pPr>
        <w:pStyle w:val="BodyText"/>
        <w:numPr>
          <w:ilvl w:val="0"/>
          <w:numId w:val="39"/>
        </w:numPr>
        <w:jc w:val="both"/>
        <w:rPr>
          <w:rFonts w:asciiTheme="majorHAnsi" w:hAnsiTheme="majorHAnsi" w:cstheme="majorHAnsi"/>
        </w:rPr>
      </w:pPr>
      <w:r>
        <w:rPr>
          <w:rFonts w:asciiTheme="majorHAnsi" w:hAnsiTheme="majorHAnsi"/>
          <w:b/>
          <w:bCs/>
        </w:rPr>
        <w:t>Masat e gjelbra</w:t>
      </w:r>
      <w:r>
        <w:rPr>
          <w:rFonts w:asciiTheme="majorHAnsi" w:hAnsiTheme="majorHAnsi"/>
        </w:rPr>
        <w:t xml:space="preserve"> janë zgjidhje të bazuara në natyrë që shfrytëzojnë ekosistemet për të reduktuar rreziqet klimatike dhe për të siguruar përfitime të përbashkëta, si përmirësimi i biodiversitetit dhe sekuestrimi i karbonit. Shembujt përfshijnë ripyllëzimin, restaurimin e ekosistemeve, praktikat e agropylltarisë, zgjidhjet bioinxhinierike, rivendosjen e korridoreve të gjelbra, mbrojtjen e habitateve dhe parandalimin e erozionit dhe të përmbytjeve. </w:t>
      </w:r>
    </w:p>
    <w:p w14:paraId="34C6410C" w14:textId="570E8E18" w:rsidR="001949BB" w:rsidRDefault="008E78EC" w:rsidP="004E2440">
      <w:pPr>
        <w:pStyle w:val="BodyText"/>
        <w:numPr>
          <w:ilvl w:val="0"/>
          <w:numId w:val="39"/>
        </w:numPr>
        <w:jc w:val="both"/>
        <w:rPr>
          <w:rFonts w:asciiTheme="majorHAnsi" w:hAnsiTheme="majorHAnsi" w:cstheme="majorHAnsi"/>
        </w:rPr>
      </w:pPr>
      <w:r>
        <w:rPr>
          <w:rFonts w:asciiTheme="majorHAnsi" w:hAnsiTheme="majorHAnsi"/>
          <w:b/>
          <w:bCs/>
        </w:rPr>
        <w:t>Masat gri</w:t>
      </w:r>
      <w:r>
        <w:rPr>
          <w:rFonts w:asciiTheme="majorHAnsi" w:hAnsiTheme="majorHAnsi"/>
        </w:rPr>
        <w:t xml:space="preserve"> konsistojnë në zgjidhjet inxhinierike ose teknologjike të projektuara për të reduktuar ekspozimin fizik ndaj rreziqeve klimatike. Shembujt përfshijnë infrastrukturat e qëndrueshme, si p.sh. strukturat valëthyese dhe barrierat kundër përmbytjeve, sistemet e paralajmërimit të hershëm, përmirësimet në infrastrukturën energjetike, sistemet e ujitjes, rikonstruktimin e strukturave të energjisë hidrike, si dhe infrastrukturat turistike rezistente ndaj ndryshimeve klimatike.</w:t>
      </w:r>
    </w:p>
    <w:p w14:paraId="57434BEF" w14:textId="6B9775F3" w:rsidR="009D2E9A" w:rsidRPr="00376025" w:rsidRDefault="009D2E9A" w:rsidP="009D2E9A">
      <w:pPr>
        <w:pStyle w:val="BodyText"/>
        <w:jc w:val="both"/>
        <w:rPr>
          <w:rFonts w:asciiTheme="majorHAnsi" w:hAnsiTheme="majorHAnsi" w:cstheme="majorHAnsi"/>
        </w:rPr>
      </w:pPr>
    </w:p>
    <w:p w14:paraId="34C6410D" w14:textId="77777777" w:rsidR="00B1381B" w:rsidRPr="00D21F4F" w:rsidRDefault="00B1381B" w:rsidP="003C792D">
      <w:pPr>
        <w:pStyle w:val="BodyText"/>
        <w:spacing w:after="0"/>
        <w:jc w:val="both"/>
        <w:rPr>
          <w:rFonts w:asciiTheme="majorHAnsi" w:hAnsiTheme="majorHAnsi" w:cstheme="majorHAnsi"/>
        </w:rPr>
      </w:pPr>
      <w:r>
        <w:rPr>
          <w:rFonts w:asciiTheme="majorHAnsi" w:hAnsiTheme="majorHAnsi"/>
          <w:b/>
          <w:bCs/>
        </w:rPr>
        <w:t>Masat ndërsektoriale</w:t>
      </w:r>
    </w:p>
    <w:p w14:paraId="34C6410E" w14:textId="77777777" w:rsidR="00B1381B" w:rsidRPr="00D21F4F" w:rsidRDefault="00B1381B" w:rsidP="003C792D">
      <w:pPr>
        <w:pStyle w:val="BodyText"/>
        <w:numPr>
          <w:ilvl w:val="0"/>
          <w:numId w:val="21"/>
        </w:numPr>
        <w:spacing w:after="0"/>
        <w:jc w:val="both"/>
        <w:rPr>
          <w:rFonts w:asciiTheme="majorHAnsi" w:hAnsiTheme="majorHAnsi" w:cstheme="majorHAnsi"/>
        </w:rPr>
      </w:pPr>
      <w:r>
        <w:rPr>
          <w:rFonts w:asciiTheme="majorHAnsi" w:hAnsiTheme="majorHAnsi"/>
        </w:rPr>
        <w:t>Forcimi i qëndrueshmërisë rajonale: Ofrimi i mbështetjes për Udhërrëfyesin e Ballkanit Perëndimor për Përshtatjen me Klimën (masë e butë, 315 000 USD, 2026-2027)</w:t>
      </w:r>
    </w:p>
    <w:p w14:paraId="34C6410F" w14:textId="77777777" w:rsidR="00B1381B" w:rsidRPr="00D21F4F" w:rsidRDefault="00B1381B" w:rsidP="0011532E">
      <w:pPr>
        <w:pStyle w:val="BodyText"/>
        <w:numPr>
          <w:ilvl w:val="0"/>
          <w:numId w:val="21"/>
        </w:numPr>
        <w:spacing w:after="0"/>
        <w:jc w:val="both"/>
        <w:rPr>
          <w:rFonts w:asciiTheme="majorHAnsi" w:hAnsiTheme="majorHAnsi" w:cstheme="majorHAnsi"/>
        </w:rPr>
      </w:pPr>
      <w:r>
        <w:rPr>
          <w:rFonts w:asciiTheme="majorHAnsi" w:hAnsiTheme="majorHAnsi"/>
        </w:rPr>
        <w:t>Optimizimi i koordinimit për çështjet klimatike: Forcimi i kuadrit të GNPNK-së (masë e butë, 420 000 USD, 2026-2027)</w:t>
      </w:r>
    </w:p>
    <w:p w14:paraId="34C64110" w14:textId="77777777" w:rsidR="00B1381B" w:rsidRPr="00D21F4F" w:rsidRDefault="00B1381B" w:rsidP="0011532E">
      <w:pPr>
        <w:pStyle w:val="BodyText"/>
        <w:numPr>
          <w:ilvl w:val="0"/>
          <w:numId w:val="21"/>
        </w:numPr>
        <w:spacing w:after="0"/>
        <w:jc w:val="both"/>
        <w:rPr>
          <w:rFonts w:asciiTheme="majorHAnsi" w:hAnsiTheme="majorHAnsi" w:cstheme="majorHAnsi"/>
        </w:rPr>
      </w:pPr>
      <w:r>
        <w:rPr>
          <w:rFonts w:asciiTheme="majorHAnsi" w:hAnsiTheme="majorHAnsi"/>
        </w:rPr>
        <w:t>Përmirësimi i kapaciteteve për përshtatjen: Ofrimi i mbështetjes për Grupin Teknik dhe Grupin Drejtues për Ndryshimet Klimatike (masë e butë, 745 000 USD, 2026-2028)</w:t>
      </w:r>
    </w:p>
    <w:p w14:paraId="34C64111" w14:textId="77777777" w:rsidR="00B1381B" w:rsidRPr="00D21F4F" w:rsidRDefault="00B1381B" w:rsidP="0011532E">
      <w:pPr>
        <w:pStyle w:val="BodyText"/>
        <w:numPr>
          <w:ilvl w:val="0"/>
          <w:numId w:val="21"/>
        </w:numPr>
        <w:spacing w:after="0"/>
        <w:jc w:val="both"/>
        <w:rPr>
          <w:rFonts w:asciiTheme="majorHAnsi" w:hAnsiTheme="majorHAnsi" w:cstheme="majorHAnsi"/>
        </w:rPr>
      </w:pPr>
      <w:r>
        <w:rPr>
          <w:rFonts w:asciiTheme="majorHAnsi" w:hAnsiTheme="majorHAnsi"/>
        </w:rPr>
        <w:t>Përmirësimi i qëndrueshmërisë ndaj ndryshimeve klimatike nëpërmjet sistemeve të përmirësuara të të dhënave (masë e butë, 1 500 000 USD, 2026-2027)</w:t>
      </w:r>
    </w:p>
    <w:p w14:paraId="34C64112" w14:textId="77777777" w:rsidR="00B1381B" w:rsidRPr="00D21F4F" w:rsidRDefault="00B1381B" w:rsidP="0011532E">
      <w:pPr>
        <w:pStyle w:val="BodyText"/>
        <w:numPr>
          <w:ilvl w:val="0"/>
          <w:numId w:val="21"/>
        </w:numPr>
        <w:spacing w:after="0"/>
        <w:jc w:val="both"/>
        <w:rPr>
          <w:rFonts w:asciiTheme="majorHAnsi" w:hAnsiTheme="majorHAnsi" w:cstheme="majorHAnsi"/>
        </w:rPr>
      </w:pPr>
      <w:r>
        <w:rPr>
          <w:rFonts w:asciiTheme="majorHAnsi" w:hAnsiTheme="majorHAnsi"/>
        </w:rPr>
        <w:t>Zgjidhjet e bazuara në natyrë dhe skemat e zhvillimit për përmirësimin neto të biodiversitetit (masë e gjelbër, 242 793 396 USD, 2026-2030)</w:t>
      </w:r>
    </w:p>
    <w:p w14:paraId="34C64113" w14:textId="77777777" w:rsidR="00B1381B" w:rsidRPr="00D21F4F" w:rsidRDefault="00B1381B" w:rsidP="0011532E">
      <w:pPr>
        <w:pStyle w:val="BodyText"/>
        <w:numPr>
          <w:ilvl w:val="0"/>
          <w:numId w:val="21"/>
        </w:numPr>
        <w:spacing w:after="0"/>
        <w:jc w:val="both"/>
        <w:rPr>
          <w:rFonts w:asciiTheme="majorHAnsi" w:hAnsiTheme="majorHAnsi" w:cstheme="majorHAnsi"/>
        </w:rPr>
      </w:pPr>
      <w:r>
        <w:rPr>
          <w:rFonts w:asciiTheme="majorHAnsi" w:hAnsiTheme="majorHAnsi"/>
        </w:rPr>
        <w:lastRenderedPageBreak/>
        <w:t>Zhvillimi i rritjes së ndërgjegjësimit dhe trajnimit për qëndrueshmërinë ndaj ndryshimeve klimatikë (masë e butë, 1 500 000 USD, 2026-2027)</w:t>
      </w:r>
    </w:p>
    <w:p w14:paraId="34C64114" w14:textId="77777777" w:rsidR="00B1381B" w:rsidRPr="00D21F4F" w:rsidRDefault="00B1381B" w:rsidP="0011532E">
      <w:pPr>
        <w:pStyle w:val="BodyText"/>
        <w:numPr>
          <w:ilvl w:val="0"/>
          <w:numId w:val="21"/>
        </w:numPr>
        <w:spacing w:after="0"/>
        <w:jc w:val="both"/>
        <w:rPr>
          <w:rFonts w:asciiTheme="majorHAnsi" w:hAnsiTheme="majorHAnsi" w:cstheme="majorHAnsi"/>
        </w:rPr>
      </w:pPr>
      <w:r>
        <w:rPr>
          <w:rFonts w:asciiTheme="majorHAnsi" w:hAnsiTheme="majorHAnsi"/>
        </w:rPr>
        <w:t>Mekanizmat novatorë të financimit për klimën: Pilotimi i strategjive të financimit të qëndrueshëm (masë e butë, 6 080 000 USD, 2026-2027)</w:t>
      </w:r>
    </w:p>
    <w:p w14:paraId="34C64115" w14:textId="77777777" w:rsidR="00B1381B" w:rsidRPr="00D21F4F" w:rsidRDefault="00B1381B" w:rsidP="0011532E">
      <w:pPr>
        <w:pStyle w:val="BodyText"/>
        <w:numPr>
          <w:ilvl w:val="0"/>
          <w:numId w:val="21"/>
        </w:numPr>
        <w:spacing w:after="0"/>
        <w:jc w:val="both"/>
        <w:rPr>
          <w:rFonts w:asciiTheme="majorHAnsi" w:hAnsiTheme="majorHAnsi" w:cstheme="majorHAnsi"/>
        </w:rPr>
      </w:pPr>
      <w:r>
        <w:rPr>
          <w:rFonts w:asciiTheme="majorHAnsi" w:hAnsiTheme="majorHAnsi"/>
        </w:rPr>
        <w:t>Pilotimi i vlerësimeve të menaxhimit të rrezikut për bizneset e qëndrueshme ndaj ndryshimeve klimatikë (masë e butë, 200 000 USD, 2026-2027)</w:t>
      </w:r>
    </w:p>
    <w:p w14:paraId="34C64116" w14:textId="77777777" w:rsidR="00B1381B" w:rsidRPr="00D21F4F" w:rsidRDefault="00B1381B" w:rsidP="0011532E">
      <w:pPr>
        <w:pStyle w:val="BodyText"/>
        <w:numPr>
          <w:ilvl w:val="0"/>
          <w:numId w:val="21"/>
        </w:numPr>
        <w:spacing w:after="0"/>
        <w:jc w:val="both"/>
        <w:rPr>
          <w:rFonts w:asciiTheme="majorHAnsi" w:hAnsiTheme="majorHAnsi" w:cstheme="majorHAnsi"/>
        </w:rPr>
      </w:pPr>
      <w:r>
        <w:rPr>
          <w:rFonts w:asciiTheme="majorHAnsi" w:hAnsiTheme="majorHAnsi"/>
        </w:rPr>
        <w:t>Promovimi i përshtatjes me ndjeshmëri gjinore ndaj ndryshimeve klimatike: Trajnimi i grupeve të interesit (masë e butë, 143 000 USD, 2026-2027)</w:t>
      </w:r>
    </w:p>
    <w:p w14:paraId="34C64117" w14:textId="77777777" w:rsidR="00B1381B" w:rsidRPr="00D21F4F" w:rsidRDefault="00B1381B" w:rsidP="0011532E">
      <w:pPr>
        <w:pStyle w:val="BodyText"/>
        <w:numPr>
          <w:ilvl w:val="0"/>
          <w:numId w:val="21"/>
        </w:numPr>
        <w:spacing w:after="0"/>
        <w:jc w:val="both"/>
        <w:rPr>
          <w:rFonts w:asciiTheme="majorHAnsi" w:hAnsiTheme="majorHAnsi" w:cstheme="majorHAnsi"/>
        </w:rPr>
      </w:pPr>
      <w:r>
        <w:rPr>
          <w:rFonts w:asciiTheme="majorHAnsi" w:hAnsiTheme="majorHAnsi"/>
        </w:rPr>
        <w:t>Edukimi i komuniteteve: Rritja e ndërgjegjësimit për përshtatjen dhe fatkeqësitë (masë e butë, 3 025 000 USD, 2026-2027)</w:t>
      </w:r>
    </w:p>
    <w:p w14:paraId="34C64118" w14:textId="5A6C9B82" w:rsidR="00B1381B" w:rsidRPr="00D21F4F" w:rsidRDefault="003C792D" w:rsidP="003C792D">
      <w:pPr>
        <w:pStyle w:val="BodyText"/>
        <w:spacing w:after="0"/>
        <w:jc w:val="both"/>
        <w:rPr>
          <w:rFonts w:asciiTheme="majorHAnsi" w:hAnsiTheme="majorHAnsi" w:cstheme="majorHAnsi"/>
        </w:rPr>
      </w:pPr>
      <w:r>
        <w:rPr>
          <w:rFonts w:asciiTheme="majorHAnsi" w:hAnsiTheme="majorHAnsi"/>
          <w:b/>
          <w:bCs/>
        </w:rPr>
        <w:br/>
        <w:t>Masat për bujqësinë</w:t>
      </w:r>
    </w:p>
    <w:p w14:paraId="34C64119" w14:textId="77777777" w:rsidR="00B1381B" w:rsidRPr="00D21F4F" w:rsidRDefault="00B1381B" w:rsidP="003C792D">
      <w:pPr>
        <w:pStyle w:val="BodyText"/>
        <w:numPr>
          <w:ilvl w:val="0"/>
          <w:numId w:val="22"/>
        </w:numPr>
        <w:spacing w:after="0"/>
        <w:jc w:val="both"/>
        <w:rPr>
          <w:rFonts w:asciiTheme="majorHAnsi" w:hAnsiTheme="majorHAnsi" w:cstheme="majorHAnsi"/>
        </w:rPr>
      </w:pPr>
      <w:r>
        <w:rPr>
          <w:rFonts w:asciiTheme="majorHAnsi" w:hAnsiTheme="majorHAnsi"/>
        </w:rPr>
        <w:t>Fuqizimi i fermerëve: mbështetje financiare për infrastrukturën e qëndrueshme ndaj ndryshimeve klimatikë (masë e butë, 29 600 000 USD, 2026-2027)</w:t>
      </w:r>
    </w:p>
    <w:p w14:paraId="34C6411A" w14:textId="77777777" w:rsidR="00B1381B" w:rsidRPr="00D21F4F" w:rsidRDefault="00B1381B" w:rsidP="0011532E">
      <w:pPr>
        <w:pStyle w:val="BodyText"/>
        <w:numPr>
          <w:ilvl w:val="0"/>
          <w:numId w:val="22"/>
        </w:numPr>
        <w:spacing w:after="0"/>
        <w:jc w:val="both"/>
        <w:rPr>
          <w:rFonts w:asciiTheme="majorHAnsi" w:hAnsiTheme="majorHAnsi" w:cstheme="majorHAnsi"/>
        </w:rPr>
      </w:pPr>
      <w:r>
        <w:rPr>
          <w:rFonts w:asciiTheme="majorHAnsi" w:hAnsiTheme="majorHAnsi"/>
        </w:rPr>
        <w:t>Mbrojtja e fermerëve: Programe kompensimi dhe asistence për rimëkëmbjen nga fatkeqësitë (masë e butë, 102 250 000 USD, 2026-2027)</w:t>
      </w:r>
    </w:p>
    <w:p w14:paraId="34C6411B" w14:textId="77777777" w:rsidR="00B1381B" w:rsidRPr="00D21F4F" w:rsidRDefault="00B1381B" w:rsidP="0011532E">
      <w:pPr>
        <w:pStyle w:val="BodyText"/>
        <w:numPr>
          <w:ilvl w:val="0"/>
          <w:numId w:val="22"/>
        </w:numPr>
        <w:spacing w:after="0"/>
        <w:jc w:val="both"/>
        <w:rPr>
          <w:rFonts w:asciiTheme="majorHAnsi" w:hAnsiTheme="majorHAnsi" w:cstheme="majorHAnsi"/>
        </w:rPr>
      </w:pPr>
      <w:r>
        <w:rPr>
          <w:rFonts w:asciiTheme="majorHAnsi" w:hAnsiTheme="majorHAnsi"/>
        </w:rPr>
        <w:t>Plan veprimi për speciet invazive sipas kushteve klimatike të ndryshueshme (masë e butë, 160 000 USD, 2026-2027)</w:t>
      </w:r>
    </w:p>
    <w:p w14:paraId="34C6411C" w14:textId="77777777" w:rsidR="00B1381B" w:rsidRPr="00D21F4F" w:rsidRDefault="00B1381B" w:rsidP="0011532E">
      <w:pPr>
        <w:pStyle w:val="BodyText"/>
        <w:numPr>
          <w:ilvl w:val="0"/>
          <w:numId w:val="22"/>
        </w:numPr>
        <w:spacing w:after="0"/>
        <w:jc w:val="both"/>
        <w:rPr>
          <w:rFonts w:asciiTheme="majorHAnsi" w:hAnsiTheme="majorHAnsi" w:cstheme="majorHAnsi"/>
        </w:rPr>
      </w:pPr>
      <w:r>
        <w:rPr>
          <w:rFonts w:asciiTheme="majorHAnsi" w:hAnsiTheme="majorHAnsi"/>
        </w:rPr>
        <w:t>Forcimi i mbrojtjes ndaj përmbytjeve: Rehabilitimi i shtratit të lumenjve dhe zgjerimi i fushave aluvionale (masë gri, 179 022 000 USD, 2029-2038)</w:t>
      </w:r>
    </w:p>
    <w:p w14:paraId="34C6411D" w14:textId="77777777" w:rsidR="00B1381B" w:rsidRPr="00D21F4F" w:rsidRDefault="00B1381B" w:rsidP="0011532E">
      <w:pPr>
        <w:pStyle w:val="BodyText"/>
        <w:numPr>
          <w:ilvl w:val="0"/>
          <w:numId w:val="22"/>
        </w:numPr>
        <w:spacing w:after="0"/>
        <w:jc w:val="both"/>
        <w:rPr>
          <w:rFonts w:asciiTheme="majorHAnsi" w:hAnsiTheme="majorHAnsi" w:cstheme="majorHAnsi"/>
        </w:rPr>
      </w:pPr>
      <w:r>
        <w:rPr>
          <w:rFonts w:asciiTheme="majorHAnsi" w:hAnsiTheme="majorHAnsi"/>
        </w:rPr>
        <w:t>Zbatimi i zgjidhjeve për krijimin e habitateve dhe zgjidhjeve të bazuara në natyrë për të luftuar erozionin e tokës (masë e gjelbër, 41 787 500 USD, 2026-2030)</w:t>
      </w:r>
    </w:p>
    <w:p w14:paraId="34C6411E" w14:textId="77777777" w:rsidR="00B1381B" w:rsidRPr="00D21F4F" w:rsidRDefault="00B1381B" w:rsidP="0011532E">
      <w:pPr>
        <w:pStyle w:val="BodyText"/>
        <w:numPr>
          <w:ilvl w:val="0"/>
          <w:numId w:val="22"/>
        </w:numPr>
        <w:spacing w:after="0"/>
        <w:jc w:val="both"/>
        <w:rPr>
          <w:rFonts w:asciiTheme="majorHAnsi" w:hAnsiTheme="majorHAnsi" w:cstheme="majorHAnsi"/>
        </w:rPr>
      </w:pPr>
      <w:r>
        <w:rPr>
          <w:rFonts w:asciiTheme="majorHAnsi" w:hAnsiTheme="majorHAnsi"/>
        </w:rPr>
        <w:t>Përmirësimi i kapaciteteve të IGJEO-s për monitorimin bregdetar (masë e butë, 322 200 USD, 2026-2027)</w:t>
      </w:r>
    </w:p>
    <w:p w14:paraId="34C6411F" w14:textId="77777777" w:rsidR="00B1381B" w:rsidRPr="00D21F4F" w:rsidRDefault="00B1381B" w:rsidP="0011532E">
      <w:pPr>
        <w:pStyle w:val="BodyText"/>
        <w:numPr>
          <w:ilvl w:val="0"/>
          <w:numId w:val="22"/>
        </w:numPr>
        <w:spacing w:after="0"/>
        <w:jc w:val="both"/>
        <w:rPr>
          <w:rFonts w:asciiTheme="majorHAnsi" w:hAnsiTheme="majorHAnsi" w:cstheme="majorHAnsi"/>
        </w:rPr>
      </w:pPr>
      <w:r>
        <w:rPr>
          <w:rFonts w:asciiTheme="majorHAnsi" w:hAnsiTheme="majorHAnsi"/>
        </w:rPr>
        <w:t>Zgjerimi dhe modernizimi i sistemeve të ujitjes (masë gri, 249 123 998 USD, 2033-2042)</w:t>
      </w:r>
    </w:p>
    <w:p w14:paraId="34C64120" w14:textId="77777777" w:rsidR="00B1381B" w:rsidRPr="00D21F4F" w:rsidRDefault="00B1381B" w:rsidP="0011532E">
      <w:pPr>
        <w:pStyle w:val="BodyText"/>
        <w:numPr>
          <w:ilvl w:val="0"/>
          <w:numId w:val="22"/>
        </w:numPr>
        <w:spacing w:after="0"/>
        <w:jc w:val="both"/>
        <w:rPr>
          <w:rFonts w:asciiTheme="majorHAnsi" w:hAnsiTheme="majorHAnsi" w:cstheme="majorHAnsi"/>
        </w:rPr>
      </w:pPr>
      <w:r>
        <w:rPr>
          <w:rFonts w:asciiTheme="majorHAnsi" w:hAnsiTheme="majorHAnsi"/>
        </w:rPr>
        <w:t>Siguri e qëndrueshme e burimeve ujore përmes infrastrukturës për grumbullimin e ujërave të shiut (masë gri, 75 849 163 USD, 2029-2038)</w:t>
      </w:r>
    </w:p>
    <w:p w14:paraId="34C64123" w14:textId="77777777" w:rsidR="00B1381B" w:rsidRPr="00D21F4F" w:rsidRDefault="00B1381B" w:rsidP="0011532E">
      <w:pPr>
        <w:pStyle w:val="BodyText"/>
        <w:numPr>
          <w:ilvl w:val="0"/>
          <w:numId w:val="22"/>
        </w:numPr>
        <w:spacing w:after="0"/>
        <w:jc w:val="both"/>
        <w:rPr>
          <w:rFonts w:asciiTheme="majorHAnsi" w:hAnsiTheme="majorHAnsi" w:cstheme="majorHAnsi"/>
        </w:rPr>
      </w:pPr>
      <w:r>
        <w:rPr>
          <w:rFonts w:asciiTheme="majorHAnsi" w:hAnsiTheme="majorHAnsi"/>
        </w:rPr>
        <w:t>Rehabilitimi i tokave të dëmtuara: Integrimi i ZbN-ve dhe PbE-ve me praktikat e agropylltarisë (masë e gjelbër, 1 494 738 115 USD, 2026-2035)</w:t>
      </w:r>
    </w:p>
    <w:p w14:paraId="34C64129" w14:textId="77777777" w:rsidR="00B1381B" w:rsidRPr="00D21F4F" w:rsidRDefault="00B1381B" w:rsidP="0011532E">
      <w:pPr>
        <w:pStyle w:val="BodyText"/>
        <w:numPr>
          <w:ilvl w:val="0"/>
          <w:numId w:val="22"/>
        </w:numPr>
        <w:spacing w:after="0"/>
        <w:jc w:val="both"/>
        <w:rPr>
          <w:rFonts w:asciiTheme="majorHAnsi" w:hAnsiTheme="majorHAnsi" w:cstheme="majorHAnsi"/>
        </w:rPr>
      </w:pPr>
      <w:r>
        <w:rPr>
          <w:rFonts w:asciiTheme="majorHAnsi" w:hAnsiTheme="majorHAnsi"/>
        </w:rPr>
        <w:t>Restaurimi dhe qëndrueshmëria e integruar e ekosistemit: Adresimi i erozionit të tokës (masë e gjelbër, 62 573 351 USD, 2029-2033)</w:t>
      </w:r>
    </w:p>
    <w:p w14:paraId="34C6412A" w14:textId="77777777" w:rsidR="00B1381B" w:rsidRPr="00D21F4F" w:rsidRDefault="00B1381B" w:rsidP="0011532E">
      <w:pPr>
        <w:pStyle w:val="BodyText"/>
        <w:numPr>
          <w:ilvl w:val="0"/>
          <w:numId w:val="22"/>
        </w:numPr>
        <w:spacing w:after="0"/>
        <w:jc w:val="both"/>
        <w:rPr>
          <w:rFonts w:asciiTheme="majorHAnsi" w:hAnsiTheme="majorHAnsi" w:cstheme="majorHAnsi"/>
        </w:rPr>
      </w:pPr>
      <w:r>
        <w:rPr>
          <w:rFonts w:asciiTheme="majorHAnsi" w:hAnsiTheme="majorHAnsi"/>
        </w:rPr>
        <w:t>Parandalimi i erozionit dhe përmbytjeve: Restaurimi strategjik i habitateve (masë e gjelbër, 124 943 176 USD, 2029-2033)</w:t>
      </w:r>
    </w:p>
    <w:p w14:paraId="34C6412B" w14:textId="77777777" w:rsidR="00B1381B" w:rsidRPr="00D21F4F" w:rsidRDefault="00B1381B" w:rsidP="0011532E">
      <w:pPr>
        <w:pStyle w:val="BodyText"/>
        <w:numPr>
          <w:ilvl w:val="0"/>
          <w:numId w:val="22"/>
        </w:numPr>
        <w:spacing w:after="0"/>
        <w:jc w:val="both"/>
        <w:rPr>
          <w:rFonts w:asciiTheme="majorHAnsi" w:hAnsiTheme="majorHAnsi" w:cstheme="majorHAnsi"/>
        </w:rPr>
      </w:pPr>
      <w:r>
        <w:rPr>
          <w:rFonts w:asciiTheme="majorHAnsi" w:hAnsiTheme="majorHAnsi"/>
        </w:rPr>
        <w:t>Menaxhimi i qëndrueshëm i peizazheve: Përmirësimi i cilësisë së ujit në liqenin e Viroit (masë e gjelbër, 479 334 USD, 2029-2033)</w:t>
      </w:r>
    </w:p>
    <w:p w14:paraId="0FF19C97" w14:textId="77777777" w:rsidR="00283EAC" w:rsidRPr="00283EAC" w:rsidRDefault="00B1381B" w:rsidP="00283EAC">
      <w:pPr>
        <w:pStyle w:val="BodyText"/>
        <w:numPr>
          <w:ilvl w:val="0"/>
          <w:numId w:val="22"/>
        </w:numPr>
        <w:tabs>
          <w:tab w:val="clear" w:pos="720"/>
          <w:tab w:val="num" w:pos="630"/>
        </w:tabs>
        <w:spacing w:after="0"/>
        <w:jc w:val="both"/>
        <w:rPr>
          <w:rFonts w:asciiTheme="majorHAnsi" w:hAnsiTheme="majorHAnsi" w:cstheme="majorHAnsi"/>
        </w:rPr>
      </w:pPr>
      <w:r>
        <w:rPr>
          <w:rFonts w:asciiTheme="majorHAnsi" w:hAnsiTheme="majorHAnsi"/>
        </w:rPr>
        <w:t>Restaurimi i shtresave pyjore për mbrojtjen e kulturave bujqësore në Vlorë (masë e gjelbër, 3 282 947 USD, 2029-2033)</w:t>
      </w:r>
      <w:r w:rsidR="00283EAC">
        <w:rPr>
          <w:rFonts w:asciiTheme="majorHAnsi" w:hAnsiTheme="majorHAnsi"/>
        </w:rPr>
        <w:br/>
      </w:r>
    </w:p>
    <w:p w14:paraId="34C6412D" w14:textId="0ECD2871" w:rsidR="00B1381B" w:rsidRPr="00283EAC" w:rsidRDefault="00283EAC" w:rsidP="00283EAC">
      <w:pPr>
        <w:pStyle w:val="BodyText"/>
        <w:spacing w:after="0"/>
        <w:jc w:val="both"/>
        <w:rPr>
          <w:rFonts w:asciiTheme="majorHAnsi" w:hAnsiTheme="majorHAnsi" w:cstheme="majorHAnsi"/>
        </w:rPr>
      </w:pPr>
      <w:r w:rsidRPr="00283EAC">
        <w:rPr>
          <w:rFonts w:asciiTheme="majorHAnsi" w:hAnsiTheme="majorHAnsi"/>
          <w:b/>
          <w:bCs/>
        </w:rPr>
        <w:t xml:space="preserve">Masat për </w:t>
      </w:r>
      <w:r w:rsidR="000E0134">
        <w:rPr>
          <w:rFonts w:asciiTheme="majorHAnsi" w:hAnsiTheme="majorHAnsi"/>
          <w:b/>
          <w:bCs/>
        </w:rPr>
        <w:t>p</w:t>
      </w:r>
      <w:r w:rsidRPr="00283EAC">
        <w:rPr>
          <w:rFonts w:asciiTheme="majorHAnsi" w:hAnsiTheme="majorHAnsi"/>
          <w:b/>
          <w:bCs/>
        </w:rPr>
        <w:t xml:space="preserve">ylltarinë dhe </w:t>
      </w:r>
      <w:r w:rsidR="000E0134">
        <w:rPr>
          <w:rFonts w:asciiTheme="majorHAnsi" w:hAnsiTheme="majorHAnsi"/>
          <w:b/>
          <w:bCs/>
        </w:rPr>
        <w:t>k</w:t>
      </w:r>
      <w:r w:rsidRPr="00283EAC">
        <w:rPr>
          <w:rFonts w:asciiTheme="majorHAnsi" w:hAnsiTheme="majorHAnsi"/>
          <w:b/>
          <w:bCs/>
        </w:rPr>
        <w:t>ullotat</w:t>
      </w:r>
    </w:p>
    <w:p w14:paraId="274B92BD" w14:textId="77777777" w:rsidR="00283EAC" w:rsidRPr="00283EAC" w:rsidRDefault="00283EAC" w:rsidP="00283EAC">
      <w:pPr>
        <w:pStyle w:val="BodyText"/>
        <w:numPr>
          <w:ilvl w:val="0"/>
          <w:numId w:val="22"/>
        </w:numPr>
        <w:spacing w:after="0"/>
        <w:jc w:val="both"/>
        <w:rPr>
          <w:rFonts w:asciiTheme="majorHAnsi" w:hAnsiTheme="majorHAnsi" w:cstheme="majorHAnsi"/>
        </w:rPr>
      </w:pPr>
      <w:r w:rsidRPr="00283EAC">
        <w:rPr>
          <w:rFonts w:asciiTheme="majorHAnsi" w:hAnsiTheme="majorHAnsi"/>
        </w:rPr>
        <w:t>Përmirësimi i efikasitetit të pyjeve përmes pajtueshmërisë me rregulloret e BE-së (masë e butë, 17 600 000 USD, 2026-2027)</w:t>
      </w:r>
    </w:p>
    <w:p w14:paraId="0AE704C8" w14:textId="77777777" w:rsidR="00283EAC" w:rsidRPr="00283EAC" w:rsidRDefault="00283EAC" w:rsidP="00283EAC">
      <w:pPr>
        <w:pStyle w:val="BodyText"/>
        <w:numPr>
          <w:ilvl w:val="0"/>
          <w:numId w:val="22"/>
        </w:numPr>
        <w:spacing w:after="0"/>
        <w:jc w:val="both"/>
        <w:rPr>
          <w:rFonts w:asciiTheme="majorHAnsi" w:hAnsiTheme="majorHAnsi" w:cstheme="majorHAnsi"/>
        </w:rPr>
      </w:pPr>
      <w:r w:rsidRPr="00283EAC">
        <w:rPr>
          <w:rFonts w:asciiTheme="majorHAnsi" w:hAnsiTheme="majorHAnsi"/>
        </w:rPr>
        <w:t>Avancimi i pylltarisë së qëndrueshme: Fonde për pyllëzimin dhe nisma për prokurimet e gjelbra (masë e butë, 8 540 000 USD, 2026-2027)</w:t>
      </w:r>
    </w:p>
    <w:p w14:paraId="5448AC53" w14:textId="77777777" w:rsidR="00283EAC" w:rsidRPr="00283EAC" w:rsidRDefault="00283EAC" w:rsidP="00283EAC">
      <w:pPr>
        <w:pStyle w:val="BodyText"/>
        <w:numPr>
          <w:ilvl w:val="0"/>
          <w:numId w:val="22"/>
        </w:numPr>
        <w:spacing w:after="0"/>
        <w:jc w:val="both"/>
        <w:rPr>
          <w:rFonts w:asciiTheme="majorHAnsi" w:hAnsiTheme="majorHAnsi" w:cstheme="majorHAnsi"/>
        </w:rPr>
      </w:pPr>
      <w:r w:rsidRPr="00283EAC">
        <w:rPr>
          <w:rFonts w:asciiTheme="majorHAnsi" w:hAnsiTheme="majorHAnsi"/>
        </w:rPr>
        <w:t>Forcimi i mbrojtjes së pyjeve dhe kullotave (masë e butë, 475 000 USD, 2026-2027)</w:t>
      </w:r>
    </w:p>
    <w:p w14:paraId="0307CE9D" w14:textId="77777777" w:rsidR="00283EAC" w:rsidRPr="00283EAC" w:rsidRDefault="00283EAC" w:rsidP="00283EAC">
      <w:pPr>
        <w:pStyle w:val="BodyText"/>
        <w:numPr>
          <w:ilvl w:val="0"/>
          <w:numId w:val="22"/>
        </w:numPr>
        <w:spacing w:after="0"/>
        <w:jc w:val="both"/>
        <w:rPr>
          <w:rFonts w:asciiTheme="majorHAnsi" w:hAnsiTheme="majorHAnsi" w:cstheme="majorHAnsi"/>
        </w:rPr>
      </w:pPr>
      <w:r w:rsidRPr="00283EAC">
        <w:rPr>
          <w:rFonts w:asciiTheme="majorHAnsi" w:hAnsiTheme="majorHAnsi"/>
        </w:rPr>
        <w:lastRenderedPageBreak/>
        <w:t>Avancimi i pyllëzimit: Krijimi i fidanishteve rajonale (masë e gjelbër, 2 249 360 USD, 2026-2027)</w:t>
      </w:r>
    </w:p>
    <w:p w14:paraId="5D8E0412" w14:textId="77777777" w:rsidR="00283EAC" w:rsidRPr="00283EAC" w:rsidRDefault="00283EAC" w:rsidP="00283EAC">
      <w:pPr>
        <w:pStyle w:val="BodyText"/>
        <w:numPr>
          <w:ilvl w:val="0"/>
          <w:numId w:val="22"/>
        </w:numPr>
        <w:spacing w:after="0"/>
        <w:jc w:val="both"/>
        <w:rPr>
          <w:rFonts w:asciiTheme="majorHAnsi" w:hAnsiTheme="majorHAnsi" w:cstheme="majorHAnsi"/>
        </w:rPr>
      </w:pPr>
      <w:r w:rsidRPr="00283EAC">
        <w:rPr>
          <w:rFonts w:asciiTheme="majorHAnsi" w:hAnsiTheme="majorHAnsi"/>
        </w:rPr>
        <w:t>Ofrimi i mbështetjes për migrimin e specieve pyjore të rralla dhe endemike (masë e gjelbër, 894 780 USD, 2029-2033)</w:t>
      </w:r>
    </w:p>
    <w:p w14:paraId="2C3F18BC" w14:textId="77777777" w:rsidR="00283EAC" w:rsidRPr="00283EAC" w:rsidRDefault="00283EAC" w:rsidP="00283EAC">
      <w:pPr>
        <w:pStyle w:val="BodyText"/>
        <w:numPr>
          <w:ilvl w:val="0"/>
          <w:numId w:val="22"/>
        </w:numPr>
        <w:spacing w:after="0"/>
        <w:jc w:val="both"/>
        <w:rPr>
          <w:rFonts w:asciiTheme="majorHAnsi" w:hAnsiTheme="majorHAnsi" w:cstheme="majorHAnsi"/>
        </w:rPr>
      </w:pPr>
      <w:r w:rsidRPr="00283EAC">
        <w:rPr>
          <w:rFonts w:asciiTheme="majorHAnsi" w:hAnsiTheme="majorHAnsi"/>
        </w:rPr>
        <w:t>Rehabilitimi i ekosistemeve jetike: Mbrojtja e brezave të gjelbër bregdetarë dhe lumorë (masë e gjelbër, 145 561 688 USD, 2029-2033)</w:t>
      </w:r>
    </w:p>
    <w:p w14:paraId="0BA4A7E3" w14:textId="77777777" w:rsidR="00283EAC" w:rsidRPr="00283EAC" w:rsidRDefault="00283EAC" w:rsidP="00283EAC">
      <w:pPr>
        <w:pStyle w:val="BodyText"/>
        <w:numPr>
          <w:ilvl w:val="0"/>
          <w:numId w:val="22"/>
        </w:numPr>
        <w:spacing w:after="0"/>
        <w:jc w:val="both"/>
        <w:rPr>
          <w:rFonts w:asciiTheme="majorHAnsi" w:hAnsiTheme="majorHAnsi" w:cstheme="majorHAnsi"/>
        </w:rPr>
      </w:pPr>
      <w:r w:rsidRPr="00283EAC">
        <w:rPr>
          <w:rFonts w:asciiTheme="majorHAnsi" w:hAnsiTheme="majorHAnsi"/>
        </w:rPr>
        <w:t>Financime të qëndrueshme përmes pagesës për shërbimet e ekosistemit (masë e butë, 16 000 000 USD, 2026-2027)</w:t>
      </w:r>
    </w:p>
    <w:p w14:paraId="2CFF266A" w14:textId="006BE528" w:rsidR="00283EAC" w:rsidRPr="00283EAC" w:rsidRDefault="00283EAC" w:rsidP="00283EAC">
      <w:pPr>
        <w:pStyle w:val="BodyText"/>
        <w:numPr>
          <w:ilvl w:val="0"/>
          <w:numId w:val="22"/>
        </w:numPr>
        <w:spacing w:after="0"/>
        <w:jc w:val="both"/>
        <w:rPr>
          <w:rFonts w:asciiTheme="majorHAnsi" w:hAnsiTheme="majorHAnsi" w:cstheme="majorHAnsi"/>
        </w:rPr>
      </w:pPr>
      <w:r w:rsidRPr="00283EAC">
        <w:rPr>
          <w:rFonts w:asciiTheme="majorHAnsi" w:hAnsiTheme="majorHAnsi"/>
        </w:rPr>
        <w:t>Përmirësimi i qëndrueshmërisë ndaj ndryshimeve klimatikë në parqet kombëtare (masë e gjelbër, 257 461 805 USD, 2026-2035)</w:t>
      </w:r>
    </w:p>
    <w:p w14:paraId="216B6570" w14:textId="0CB5B04E" w:rsidR="00283EAC" w:rsidRDefault="00283EAC" w:rsidP="003C792D">
      <w:pPr>
        <w:pStyle w:val="BodyText"/>
        <w:spacing w:after="0"/>
        <w:jc w:val="both"/>
        <w:rPr>
          <w:rFonts w:asciiTheme="majorHAnsi" w:hAnsiTheme="majorHAnsi"/>
          <w:b/>
          <w:bCs/>
        </w:rPr>
      </w:pPr>
    </w:p>
    <w:p w14:paraId="34C6412E" w14:textId="321D1996" w:rsidR="00B1381B" w:rsidRPr="00D21F4F" w:rsidRDefault="003C792D" w:rsidP="003C792D">
      <w:pPr>
        <w:pStyle w:val="BodyText"/>
        <w:spacing w:after="0"/>
        <w:jc w:val="both"/>
        <w:rPr>
          <w:rFonts w:asciiTheme="majorHAnsi" w:hAnsiTheme="majorHAnsi" w:cstheme="majorHAnsi"/>
        </w:rPr>
      </w:pPr>
      <w:r>
        <w:rPr>
          <w:rFonts w:asciiTheme="majorHAnsi" w:hAnsiTheme="majorHAnsi"/>
          <w:b/>
          <w:bCs/>
        </w:rPr>
        <w:t>Masat për turizmin</w:t>
      </w:r>
    </w:p>
    <w:p w14:paraId="34C6412F" w14:textId="77777777" w:rsidR="00B1381B" w:rsidRPr="00D21F4F" w:rsidRDefault="00B1381B" w:rsidP="003C792D">
      <w:pPr>
        <w:pStyle w:val="BodyText"/>
        <w:numPr>
          <w:ilvl w:val="0"/>
          <w:numId w:val="23"/>
        </w:numPr>
        <w:spacing w:after="0"/>
        <w:jc w:val="both"/>
        <w:rPr>
          <w:rFonts w:asciiTheme="majorHAnsi" w:hAnsiTheme="majorHAnsi" w:cstheme="majorHAnsi"/>
        </w:rPr>
      </w:pPr>
      <w:r>
        <w:rPr>
          <w:rFonts w:asciiTheme="majorHAnsi" w:hAnsiTheme="majorHAnsi"/>
        </w:rPr>
        <w:t>Planifikimi hapësinor strategjik për turizmin: Riorientimi i zhvillimit (masë e butë, 600 000 USD, 2026-2027)</w:t>
      </w:r>
    </w:p>
    <w:p w14:paraId="34C64130" w14:textId="77777777" w:rsidR="00B1381B" w:rsidRPr="00D21F4F" w:rsidRDefault="00B1381B" w:rsidP="0011532E">
      <w:pPr>
        <w:pStyle w:val="BodyText"/>
        <w:numPr>
          <w:ilvl w:val="0"/>
          <w:numId w:val="23"/>
        </w:numPr>
        <w:spacing w:after="0"/>
        <w:jc w:val="both"/>
        <w:rPr>
          <w:rFonts w:asciiTheme="majorHAnsi" w:hAnsiTheme="majorHAnsi" w:cstheme="majorHAnsi"/>
        </w:rPr>
      </w:pPr>
      <w:r>
        <w:rPr>
          <w:rFonts w:asciiTheme="majorHAnsi" w:hAnsiTheme="majorHAnsi"/>
        </w:rPr>
        <w:t>Infrastruktura turistike rezistente ndaj ndryshimeve klimatike: Paketa nxitëse (masë e butë, 800 000 USD, 2026-2027)</w:t>
      </w:r>
    </w:p>
    <w:p w14:paraId="34C64131" w14:textId="77777777" w:rsidR="00B1381B" w:rsidRPr="00D21F4F" w:rsidRDefault="00B1381B" w:rsidP="0011532E">
      <w:pPr>
        <w:pStyle w:val="BodyText"/>
        <w:numPr>
          <w:ilvl w:val="0"/>
          <w:numId w:val="23"/>
        </w:numPr>
        <w:spacing w:after="0"/>
        <w:jc w:val="both"/>
        <w:rPr>
          <w:rFonts w:asciiTheme="majorHAnsi" w:hAnsiTheme="majorHAnsi" w:cstheme="majorHAnsi"/>
        </w:rPr>
      </w:pPr>
      <w:r>
        <w:rPr>
          <w:rFonts w:asciiTheme="majorHAnsi" w:hAnsiTheme="majorHAnsi"/>
        </w:rPr>
        <w:t>Planifikimi strategjik për qëndrueshmërinë bregdetare: Zona buferike dhe kanale detare (masë e butë, 504 000 USD, 2026-2027)</w:t>
      </w:r>
    </w:p>
    <w:p w14:paraId="34C64132" w14:textId="77777777" w:rsidR="00B1381B" w:rsidRPr="00D21F4F" w:rsidRDefault="00B1381B" w:rsidP="0011532E">
      <w:pPr>
        <w:pStyle w:val="BodyText"/>
        <w:numPr>
          <w:ilvl w:val="0"/>
          <w:numId w:val="23"/>
        </w:numPr>
        <w:spacing w:after="0"/>
        <w:jc w:val="both"/>
        <w:rPr>
          <w:rFonts w:asciiTheme="majorHAnsi" w:hAnsiTheme="majorHAnsi" w:cstheme="majorHAnsi"/>
        </w:rPr>
      </w:pPr>
      <w:r>
        <w:rPr>
          <w:rFonts w:asciiTheme="majorHAnsi" w:hAnsiTheme="majorHAnsi"/>
        </w:rPr>
        <w:t>Mbrojtja e Gjirit të Vlorës: Ruajtja e habitateve me bimë Posidonia (masë e gjelbër, 3 606 119 USD, 2029-2033)</w:t>
      </w:r>
    </w:p>
    <w:p w14:paraId="34C64133" w14:textId="77777777" w:rsidR="00B1381B" w:rsidRPr="00D21F4F" w:rsidRDefault="00B1381B" w:rsidP="0011532E">
      <w:pPr>
        <w:pStyle w:val="BodyText"/>
        <w:numPr>
          <w:ilvl w:val="0"/>
          <w:numId w:val="23"/>
        </w:numPr>
        <w:spacing w:after="0"/>
        <w:jc w:val="both"/>
        <w:rPr>
          <w:rFonts w:asciiTheme="majorHAnsi" w:hAnsiTheme="majorHAnsi" w:cstheme="majorHAnsi"/>
        </w:rPr>
      </w:pPr>
      <w:r>
        <w:rPr>
          <w:rFonts w:asciiTheme="majorHAnsi" w:hAnsiTheme="majorHAnsi"/>
        </w:rPr>
        <w:t>Forcimi i kuadrit të politikave dhe kuadrit rregullator për turizmin e qëndrueshëm (masë e butë, 120 500 USD, 2026-2027)</w:t>
      </w:r>
    </w:p>
    <w:p w14:paraId="34C64134" w14:textId="77777777" w:rsidR="00B1381B" w:rsidRPr="00D21F4F" w:rsidRDefault="00B1381B" w:rsidP="0011532E">
      <w:pPr>
        <w:pStyle w:val="BodyText"/>
        <w:numPr>
          <w:ilvl w:val="0"/>
          <w:numId w:val="23"/>
        </w:numPr>
        <w:spacing w:after="0"/>
        <w:jc w:val="both"/>
        <w:rPr>
          <w:rFonts w:asciiTheme="majorHAnsi" w:hAnsiTheme="majorHAnsi" w:cstheme="majorHAnsi"/>
        </w:rPr>
      </w:pPr>
      <w:r>
        <w:rPr>
          <w:rFonts w:asciiTheme="majorHAnsi" w:hAnsiTheme="majorHAnsi"/>
        </w:rPr>
        <w:t>Integrimi i të dhënave klimatike për turizmin e qëndrueshëm (masë e butë, 290 000 USD, 2026-2027)</w:t>
      </w:r>
    </w:p>
    <w:p w14:paraId="34C64135" w14:textId="77777777" w:rsidR="00B1381B" w:rsidRPr="00D21F4F" w:rsidRDefault="00B1381B" w:rsidP="0011532E">
      <w:pPr>
        <w:pStyle w:val="BodyText"/>
        <w:numPr>
          <w:ilvl w:val="0"/>
          <w:numId w:val="23"/>
        </w:numPr>
        <w:spacing w:after="0"/>
        <w:jc w:val="both"/>
        <w:rPr>
          <w:rFonts w:asciiTheme="majorHAnsi" w:hAnsiTheme="majorHAnsi" w:cstheme="majorHAnsi"/>
        </w:rPr>
      </w:pPr>
      <w:r>
        <w:rPr>
          <w:rFonts w:asciiTheme="majorHAnsi" w:hAnsiTheme="majorHAnsi"/>
        </w:rPr>
        <w:t>Infrastruktura turistike rezistente ndaj ndryshimeve klimatike: Projektet përshtatëse (masë gri, për t'u konfirmuar, 2029-2033)</w:t>
      </w:r>
    </w:p>
    <w:p w14:paraId="34C64136" w14:textId="77777777" w:rsidR="00B1381B" w:rsidRPr="00D21F4F" w:rsidRDefault="00B1381B" w:rsidP="0011532E">
      <w:pPr>
        <w:pStyle w:val="BodyText"/>
        <w:numPr>
          <w:ilvl w:val="0"/>
          <w:numId w:val="23"/>
        </w:numPr>
        <w:spacing w:after="0"/>
        <w:jc w:val="both"/>
        <w:rPr>
          <w:rFonts w:asciiTheme="majorHAnsi" w:hAnsiTheme="majorHAnsi" w:cstheme="majorHAnsi"/>
        </w:rPr>
      </w:pPr>
      <w:r>
        <w:rPr>
          <w:rFonts w:asciiTheme="majorHAnsi" w:hAnsiTheme="majorHAnsi"/>
        </w:rPr>
        <w:t>Mbrojtja e zonave bregdetare: Integrimi i rregulloreve (masë e butë, 657 000 USD, 2026-2027)</w:t>
      </w:r>
    </w:p>
    <w:p w14:paraId="34C64137" w14:textId="77777777" w:rsidR="00B1381B" w:rsidRPr="00D21F4F" w:rsidRDefault="00B1381B" w:rsidP="0011532E">
      <w:pPr>
        <w:pStyle w:val="BodyText"/>
        <w:numPr>
          <w:ilvl w:val="0"/>
          <w:numId w:val="23"/>
        </w:numPr>
        <w:spacing w:after="0"/>
        <w:jc w:val="both"/>
        <w:rPr>
          <w:rFonts w:asciiTheme="majorHAnsi" w:hAnsiTheme="majorHAnsi" w:cstheme="majorHAnsi"/>
        </w:rPr>
      </w:pPr>
      <w:r>
        <w:rPr>
          <w:rFonts w:asciiTheme="majorHAnsi" w:hAnsiTheme="majorHAnsi"/>
        </w:rPr>
        <w:t>Ngritja e kapaciteteve për qëndrueshmërinë ndaj ndryshimeve klimatike: Trajnimi i operatorëve turistikë (masë e butë, 430 000 USD, 2026-2027)</w:t>
      </w:r>
    </w:p>
    <w:p w14:paraId="34C64138" w14:textId="77777777" w:rsidR="00B1381B" w:rsidRPr="00D21F4F" w:rsidRDefault="00B1381B" w:rsidP="0011532E">
      <w:pPr>
        <w:pStyle w:val="BodyText"/>
        <w:numPr>
          <w:ilvl w:val="0"/>
          <w:numId w:val="23"/>
        </w:numPr>
        <w:spacing w:after="0"/>
        <w:jc w:val="both"/>
        <w:rPr>
          <w:rFonts w:asciiTheme="majorHAnsi" w:hAnsiTheme="majorHAnsi" w:cstheme="majorHAnsi"/>
        </w:rPr>
      </w:pPr>
      <w:r>
        <w:rPr>
          <w:rFonts w:asciiTheme="majorHAnsi" w:hAnsiTheme="majorHAnsi"/>
        </w:rPr>
        <w:t>Qendra digjitale për turizmin e qëndrueshëm ndaj ndryshimeve klimatike (masë e butë, 34 000 USD, 2026-2027)</w:t>
      </w:r>
    </w:p>
    <w:p w14:paraId="34C64139" w14:textId="77777777" w:rsidR="00B1381B" w:rsidRPr="00D21F4F" w:rsidRDefault="00B1381B" w:rsidP="0011532E">
      <w:pPr>
        <w:pStyle w:val="BodyText"/>
        <w:numPr>
          <w:ilvl w:val="0"/>
          <w:numId w:val="23"/>
        </w:numPr>
        <w:spacing w:after="0"/>
        <w:jc w:val="both"/>
        <w:rPr>
          <w:rFonts w:asciiTheme="majorHAnsi" w:hAnsiTheme="majorHAnsi" w:cstheme="majorHAnsi"/>
        </w:rPr>
      </w:pPr>
      <w:r>
        <w:rPr>
          <w:rFonts w:asciiTheme="majorHAnsi" w:hAnsiTheme="majorHAnsi"/>
        </w:rPr>
        <w:t>Mbrojtja e aseteve turistike: Zbatimi i rregulloreve (masë e butë, 1 450 000 USD, 2026-2027)</w:t>
      </w:r>
    </w:p>
    <w:p w14:paraId="34C6413A" w14:textId="36E26905" w:rsidR="00B1381B" w:rsidRPr="00D21F4F" w:rsidRDefault="003C792D" w:rsidP="003C792D">
      <w:pPr>
        <w:pStyle w:val="BodyText"/>
        <w:spacing w:after="0"/>
        <w:jc w:val="both"/>
        <w:rPr>
          <w:rFonts w:asciiTheme="majorHAnsi" w:hAnsiTheme="majorHAnsi" w:cstheme="majorHAnsi"/>
        </w:rPr>
      </w:pPr>
      <w:r>
        <w:rPr>
          <w:rFonts w:asciiTheme="majorHAnsi" w:hAnsiTheme="majorHAnsi"/>
          <w:b/>
          <w:bCs/>
        </w:rPr>
        <w:br/>
        <w:t>Masat për zhvillimin urban</w:t>
      </w:r>
    </w:p>
    <w:p w14:paraId="34C6413B" w14:textId="77777777" w:rsidR="00B1381B" w:rsidRPr="00D21F4F" w:rsidRDefault="00B1381B" w:rsidP="003C792D">
      <w:pPr>
        <w:pStyle w:val="BodyText"/>
        <w:numPr>
          <w:ilvl w:val="0"/>
          <w:numId w:val="24"/>
        </w:numPr>
        <w:spacing w:after="0"/>
        <w:jc w:val="both"/>
        <w:rPr>
          <w:rFonts w:asciiTheme="majorHAnsi" w:hAnsiTheme="majorHAnsi" w:cstheme="majorHAnsi"/>
        </w:rPr>
      </w:pPr>
      <w:r>
        <w:rPr>
          <w:rFonts w:asciiTheme="majorHAnsi" w:hAnsiTheme="majorHAnsi"/>
        </w:rPr>
        <w:t>Planifikimi detar dhe territorial për qëndrueshmërinë ndaj ndryshimeve klimatike (masë e butë, 290 000 USD, 2026-2027)</w:t>
      </w:r>
    </w:p>
    <w:p w14:paraId="34C6413C" w14:textId="77777777" w:rsidR="00B1381B" w:rsidRPr="00D21F4F" w:rsidRDefault="00B1381B" w:rsidP="0011532E">
      <w:pPr>
        <w:pStyle w:val="BodyText"/>
        <w:numPr>
          <w:ilvl w:val="0"/>
          <w:numId w:val="24"/>
        </w:numPr>
        <w:spacing w:after="0"/>
        <w:jc w:val="both"/>
        <w:rPr>
          <w:rFonts w:asciiTheme="majorHAnsi" w:hAnsiTheme="majorHAnsi" w:cstheme="majorHAnsi"/>
        </w:rPr>
      </w:pPr>
      <w:r>
        <w:rPr>
          <w:rFonts w:asciiTheme="majorHAnsi" w:hAnsiTheme="majorHAnsi"/>
        </w:rPr>
        <w:t>Planifikimi hapësinor strategjik për zvogëlimin e rrezikut (masë e butë, 3 027 000 USD, 2026-2027)</w:t>
      </w:r>
    </w:p>
    <w:p w14:paraId="34C6413D" w14:textId="77777777" w:rsidR="00B1381B" w:rsidRPr="00D21F4F" w:rsidRDefault="00B1381B" w:rsidP="0011532E">
      <w:pPr>
        <w:pStyle w:val="BodyText"/>
        <w:numPr>
          <w:ilvl w:val="0"/>
          <w:numId w:val="24"/>
        </w:numPr>
        <w:spacing w:after="0"/>
        <w:jc w:val="both"/>
        <w:rPr>
          <w:rFonts w:asciiTheme="majorHAnsi" w:hAnsiTheme="majorHAnsi" w:cstheme="majorHAnsi"/>
        </w:rPr>
      </w:pPr>
      <w:r>
        <w:rPr>
          <w:rFonts w:asciiTheme="majorHAnsi" w:hAnsiTheme="majorHAnsi"/>
        </w:rPr>
        <w:t>Skema nxitëse për rritjen e qëndrueshmërisë ndaj temperaturave ekstreme (masë e butë, 2 715 000 000 USD, 2026-2027)</w:t>
      </w:r>
    </w:p>
    <w:p w14:paraId="34C6413E" w14:textId="77777777" w:rsidR="00B1381B" w:rsidRPr="00D21F4F" w:rsidRDefault="00B1381B" w:rsidP="0011532E">
      <w:pPr>
        <w:pStyle w:val="BodyText"/>
        <w:numPr>
          <w:ilvl w:val="0"/>
          <w:numId w:val="24"/>
        </w:numPr>
        <w:spacing w:after="0"/>
        <w:jc w:val="both"/>
        <w:rPr>
          <w:rFonts w:asciiTheme="majorHAnsi" w:hAnsiTheme="majorHAnsi" w:cstheme="majorHAnsi"/>
        </w:rPr>
      </w:pPr>
      <w:r>
        <w:rPr>
          <w:rFonts w:asciiTheme="majorHAnsi" w:hAnsiTheme="majorHAnsi"/>
        </w:rPr>
        <w:t>Integrimi i hapësirave të gjelbra në infrastrukturën publike (masë e butë, 380 000 USD, 2026-2027)</w:t>
      </w:r>
    </w:p>
    <w:p w14:paraId="34C6413F" w14:textId="77777777" w:rsidR="00B1381B" w:rsidRPr="00D21F4F" w:rsidRDefault="00B1381B" w:rsidP="0011532E">
      <w:pPr>
        <w:pStyle w:val="BodyText"/>
        <w:numPr>
          <w:ilvl w:val="0"/>
          <w:numId w:val="24"/>
        </w:numPr>
        <w:spacing w:after="0"/>
        <w:jc w:val="both"/>
        <w:rPr>
          <w:rFonts w:asciiTheme="majorHAnsi" w:hAnsiTheme="majorHAnsi" w:cstheme="majorHAnsi"/>
        </w:rPr>
      </w:pPr>
      <w:r>
        <w:rPr>
          <w:rFonts w:asciiTheme="majorHAnsi" w:hAnsiTheme="majorHAnsi"/>
        </w:rPr>
        <w:lastRenderedPageBreak/>
        <w:t>Restaurimi i korridoreve të gjelbra: Ripyllëzimi dhe gjelbërimi urban (masë e gjelbër, 568 544 USD, 2026-2027)</w:t>
      </w:r>
    </w:p>
    <w:p w14:paraId="34C64140" w14:textId="77777777" w:rsidR="00B1381B" w:rsidRPr="00D21F4F" w:rsidRDefault="00B1381B" w:rsidP="0011532E">
      <w:pPr>
        <w:pStyle w:val="BodyText"/>
        <w:numPr>
          <w:ilvl w:val="0"/>
          <w:numId w:val="24"/>
        </w:numPr>
        <w:spacing w:after="0"/>
        <w:jc w:val="both"/>
        <w:rPr>
          <w:rFonts w:asciiTheme="majorHAnsi" w:hAnsiTheme="majorHAnsi" w:cstheme="majorHAnsi"/>
        </w:rPr>
      </w:pPr>
      <w:r>
        <w:rPr>
          <w:rFonts w:asciiTheme="majorHAnsi" w:hAnsiTheme="majorHAnsi"/>
        </w:rPr>
        <w:t>Vlerësimi i rreziqeve klimatike për Durrësin, Elbasanin, Fierin dhe më gjerë (masë e butë, 196 000 USD, 2026-2027)</w:t>
      </w:r>
    </w:p>
    <w:p w14:paraId="34C64141" w14:textId="77777777" w:rsidR="00B1381B" w:rsidRPr="00D21F4F" w:rsidRDefault="00B1381B" w:rsidP="0011532E">
      <w:pPr>
        <w:pStyle w:val="BodyText"/>
        <w:numPr>
          <w:ilvl w:val="0"/>
          <w:numId w:val="24"/>
        </w:numPr>
        <w:spacing w:after="0"/>
        <w:jc w:val="both"/>
        <w:rPr>
          <w:rFonts w:asciiTheme="majorHAnsi" w:hAnsiTheme="majorHAnsi" w:cstheme="majorHAnsi"/>
        </w:rPr>
      </w:pPr>
      <w:r>
        <w:rPr>
          <w:rFonts w:asciiTheme="majorHAnsi" w:hAnsiTheme="majorHAnsi"/>
        </w:rPr>
        <w:t>Planet e emergjencës në rastet e përmbytjeve (masë e butë, 2 500 000 USD, 2026-2027)</w:t>
      </w:r>
    </w:p>
    <w:p w14:paraId="34C64142" w14:textId="77777777" w:rsidR="00B1381B" w:rsidRPr="00D21F4F" w:rsidRDefault="00B1381B" w:rsidP="0011532E">
      <w:pPr>
        <w:pStyle w:val="BodyText"/>
        <w:numPr>
          <w:ilvl w:val="0"/>
          <w:numId w:val="24"/>
        </w:numPr>
        <w:spacing w:after="0"/>
        <w:jc w:val="both"/>
        <w:rPr>
          <w:rFonts w:asciiTheme="majorHAnsi" w:hAnsiTheme="majorHAnsi" w:cstheme="majorHAnsi"/>
        </w:rPr>
      </w:pPr>
      <w:r>
        <w:rPr>
          <w:rFonts w:asciiTheme="majorHAnsi" w:hAnsiTheme="majorHAnsi"/>
        </w:rPr>
        <w:t>Përmirësimi i qëndrueshmërisë urbane: Vlerësimi i hapësirave të gjelbra (masë e gjelbër, për t'u konfirmuar, 2026-2027)</w:t>
      </w:r>
    </w:p>
    <w:p w14:paraId="34C64143" w14:textId="77777777" w:rsidR="00B1381B" w:rsidRPr="00D21F4F" w:rsidRDefault="00B1381B" w:rsidP="0011532E">
      <w:pPr>
        <w:pStyle w:val="BodyText"/>
        <w:numPr>
          <w:ilvl w:val="0"/>
          <w:numId w:val="24"/>
        </w:numPr>
        <w:spacing w:after="0"/>
        <w:jc w:val="both"/>
        <w:rPr>
          <w:rFonts w:asciiTheme="majorHAnsi" w:hAnsiTheme="majorHAnsi" w:cstheme="majorHAnsi"/>
        </w:rPr>
      </w:pPr>
      <w:r>
        <w:rPr>
          <w:rFonts w:asciiTheme="majorHAnsi" w:hAnsiTheme="majorHAnsi"/>
        </w:rPr>
        <w:t>Projekte të qëndrueshme urbane: Ruajtja e zonave të depërtimit (masë e butë, 1 200 000 USD, 2026-2027)</w:t>
      </w:r>
    </w:p>
    <w:p w14:paraId="34C64144" w14:textId="33CA9D0D" w:rsidR="00B1381B" w:rsidRPr="00D21F4F" w:rsidRDefault="003C792D" w:rsidP="003C792D">
      <w:pPr>
        <w:pStyle w:val="BodyText"/>
        <w:spacing w:after="0"/>
        <w:jc w:val="both"/>
        <w:rPr>
          <w:rFonts w:asciiTheme="majorHAnsi" w:hAnsiTheme="majorHAnsi" w:cstheme="majorHAnsi"/>
        </w:rPr>
      </w:pPr>
      <w:r>
        <w:rPr>
          <w:rFonts w:asciiTheme="majorHAnsi" w:hAnsiTheme="majorHAnsi"/>
          <w:b/>
          <w:bCs/>
        </w:rPr>
        <w:br/>
        <w:t>Masat për energjinë</w:t>
      </w:r>
    </w:p>
    <w:p w14:paraId="34C64145" w14:textId="77777777" w:rsidR="00B1381B" w:rsidRPr="00D21F4F" w:rsidRDefault="00B1381B" w:rsidP="003C792D">
      <w:pPr>
        <w:pStyle w:val="BodyText"/>
        <w:numPr>
          <w:ilvl w:val="0"/>
          <w:numId w:val="25"/>
        </w:numPr>
        <w:spacing w:after="0"/>
        <w:jc w:val="both"/>
        <w:rPr>
          <w:rFonts w:asciiTheme="majorHAnsi" w:hAnsiTheme="majorHAnsi" w:cstheme="majorHAnsi"/>
        </w:rPr>
      </w:pPr>
      <w:r>
        <w:rPr>
          <w:rFonts w:asciiTheme="majorHAnsi" w:hAnsiTheme="majorHAnsi"/>
        </w:rPr>
        <w:t>Mbrojtja e infrastrukturës energjetike kundër erërave të forta (masë gri, 986 298 000 USD, 2026-2027)</w:t>
      </w:r>
    </w:p>
    <w:p w14:paraId="34C64146" w14:textId="77777777" w:rsidR="00B1381B" w:rsidRPr="00D21F4F" w:rsidRDefault="00B1381B" w:rsidP="0011532E">
      <w:pPr>
        <w:pStyle w:val="BodyText"/>
        <w:numPr>
          <w:ilvl w:val="0"/>
          <w:numId w:val="25"/>
        </w:numPr>
        <w:spacing w:after="0"/>
        <w:jc w:val="both"/>
        <w:rPr>
          <w:rFonts w:asciiTheme="majorHAnsi" w:hAnsiTheme="majorHAnsi" w:cstheme="majorHAnsi"/>
        </w:rPr>
      </w:pPr>
      <w:r>
        <w:rPr>
          <w:rFonts w:asciiTheme="majorHAnsi" w:hAnsiTheme="majorHAnsi"/>
        </w:rPr>
        <w:t>Përmirësimi i efikasitetit të ndërtesave: Certifikatat e performancës së energjisë (masë e butë, 3 500 000 USD, 2026-2027)</w:t>
      </w:r>
    </w:p>
    <w:p w14:paraId="34C64147" w14:textId="77777777" w:rsidR="00B1381B" w:rsidRPr="00D21F4F" w:rsidRDefault="00B1381B" w:rsidP="0011532E">
      <w:pPr>
        <w:pStyle w:val="BodyText"/>
        <w:numPr>
          <w:ilvl w:val="0"/>
          <w:numId w:val="25"/>
        </w:numPr>
        <w:spacing w:after="0"/>
        <w:jc w:val="both"/>
        <w:rPr>
          <w:rFonts w:asciiTheme="majorHAnsi" w:hAnsiTheme="majorHAnsi" w:cstheme="majorHAnsi"/>
        </w:rPr>
      </w:pPr>
      <w:r>
        <w:rPr>
          <w:rFonts w:asciiTheme="majorHAnsi" w:hAnsiTheme="majorHAnsi"/>
        </w:rPr>
        <w:t>Eksplorimi i potencialit të sektorit të energjisë: Menaxhimi i kërkesës (masë e butë, 2 900 000 USD, 2026-2027)</w:t>
      </w:r>
    </w:p>
    <w:p w14:paraId="34C64148" w14:textId="77777777" w:rsidR="00B1381B" w:rsidRPr="00D21F4F" w:rsidRDefault="00B1381B" w:rsidP="0011532E">
      <w:pPr>
        <w:pStyle w:val="BodyText"/>
        <w:numPr>
          <w:ilvl w:val="0"/>
          <w:numId w:val="25"/>
        </w:numPr>
        <w:spacing w:after="0"/>
        <w:jc w:val="both"/>
        <w:rPr>
          <w:rFonts w:asciiTheme="majorHAnsi" w:hAnsiTheme="majorHAnsi" w:cstheme="majorHAnsi"/>
        </w:rPr>
      </w:pPr>
      <w:r>
        <w:rPr>
          <w:rFonts w:asciiTheme="majorHAnsi" w:hAnsiTheme="majorHAnsi"/>
        </w:rPr>
        <w:t>Mbrojtja e infrastrukturës energjetike: Monitorimi i zonave të emergjencës (masë e butë, 875 000 USD, 2026-2027)</w:t>
      </w:r>
    </w:p>
    <w:p w14:paraId="34C64149" w14:textId="77777777" w:rsidR="00B1381B" w:rsidRPr="00D21F4F" w:rsidRDefault="00B1381B" w:rsidP="0011532E">
      <w:pPr>
        <w:pStyle w:val="BodyText"/>
        <w:numPr>
          <w:ilvl w:val="0"/>
          <w:numId w:val="25"/>
        </w:numPr>
        <w:spacing w:after="0"/>
        <w:jc w:val="both"/>
        <w:rPr>
          <w:rFonts w:asciiTheme="majorHAnsi" w:hAnsiTheme="majorHAnsi" w:cstheme="majorHAnsi"/>
        </w:rPr>
      </w:pPr>
      <w:r>
        <w:rPr>
          <w:rFonts w:asciiTheme="majorHAnsi" w:hAnsiTheme="majorHAnsi"/>
        </w:rPr>
        <w:t>Përmirësimi i qëndrueshmërisë ndaj valëve të të nxehtit përmes teknologjisë efikase të ajrit të kondicionuar (masë e butë, 38 200 000 USD, 2026-2027)</w:t>
      </w:r>
    </w:p>
    <w:p w14:paraId="34C6414A" w14:textId="77777777" w:rsidR="00B1381B" w:rsidRPr="00D21F4F" w:rsidRDefault="00B1381B" w:rsidP="0011532E">
      <w:pPr>
        <w:pStyle w:val="BodyText"/>
        <w:numPr>
          <w:ilvl w:val="0"/>
          <w:numId w:val="25"/>
        </w:numPr>
        <w:spacing w:after="0"/>
        <w:jc w:val="both"/>
        <w:rPr>
          <w:rFonts w:asciiTheme="majorHAnsi" w:hAnsiTheme="majorHAnsi" w:cstheme="majorHAnsi"/>
        </w:rPr>
      </w:pPr>
      <w:r>
        <w:rPr>
          <w:rFonts w:asciiTheme="majorHAnsi" w:hAnsiTheme="majorHAnsi"/>
        </w:rPr>
        <w:t>Optimizimi i energjisë së rinovueshme për sistemet e qëndrueshme (masë e butë, 176 850 000 USD, 2026-2027)</w:t>
      </w:r>
    </w:p>
    <w:p w14:paraId="34C6414B" w14:textId="77777777" w:rsidR="00B1381B" w:rsidRPr="00D21F4F" w:rsidRDefault="00B1381B" w:rsidP="0011532E">
      <w:pPr>
        <w:pStyle w:val="BodyText"/>
        <w:numPr>
          <w:ilvl w:val="0"/>
          <w:numId w:val="25"/>
        </w:numPr>
        <w:spacing w:after="0"/>
        <w:jc w:val="both"/>
        <w:rPr>
          <w:rFonts w:asciiTheme="majorHAnsi" w:hAnsiTheme="majorHAnsi" w:cstheme="majorHAnsi"/>
        </w:rPr>
      </w:pPr>
      <w:r>
        <w:rPr>
          <w:rFonts w:asciiTheme="majorHAnsi" w:hAnsiTheme="majorHAnsi"/>
        </w:rPr>
        <w:t>Rritja e barazisë gjinore në sektorin e energjisë: Trajnime për gratë (masë e butë, 4 900 000 USD, 2026-2027)</w:t>
      </w:r>
    </w:p>
    <w:p w14:paraId="34C6414C" w14:textId="77777777" w:rsidR="00B1381B" w:rsidRPr="00D21F4F" w:rsidRDefault="00B1381B" w:rsidP="0011532E">
      <w:pPr>
        <w:pStyle w:val="BodyText"/>
        <w:numPr>
          <w:ilvl w:val="0"/>
          <w:numId w:val="25"/>
        </w:numPr>
        <w:spacing w:after="0"/>
        <w:jc w:val="both"/>
        <w:rPr>
          <w:rFonts w:asciiTheme="majorHAnsi" w:hAnsiTheme="majorHAnsi" w:cstheme="majorHAnsi"/>
        </w:rPr>
      </w:pPr>
      <w:r>
        <w:rPr>
          <w:rFonts w:asciiTheme="majorHAnsi" w:hAnsiTheme="majorHAnsi"/>
        </w:rPr>
        <w:t>Rritja e qëndrueshmërisë në fushën e energjisë hidrike: Optimizimi i operacioneve (masë gri, 747 050 000 USD, 2026-2027)</w:t>
      </w:r>
    </w:p>
    <w:p w14:paraId="34C6414D" w14:textId="02F602C0" w:rsidR="00B1381B" w:rsidRPr="00D21F4F" w:rsidRDefault="003C792D" w:rsidP="003C792D">
      <w:pPr>
        <w:pStyle w:val="BodyText"/>
        <w:spacing w:after="0"/>
        <w:jc w:val="both"/>
        <w:rPr>
          <w:rFonts w:asciiTheme="majorHAnsi" w:hAnsiTheme="majorHAnsi" w:cstheme="majorHAnsi"/>
        </w:rPr>
      </w:pPr>
      <w:r>
        <w:rPr>
          <w:rFonts w:asciiTheme="majorHAnsi" w:hAnsiTheme="majorHAnsi"/>
          <w:b/>
          <w:bCs/>
        </w:rPr>
        <w:br/>
        <w:t>Masat për transportin</w:t>
      </w:r>
    </w:p>
    <w:p w14:paraId="34C6414E" w14:textId="77777777" w:rsidR="00B1381B" w:rsidRPr="00D21F4F" w:rsidRDefault="00B1381B" w:rsidP="003C792D">
      <w:pPr>
        <w:pStyle w:val="BodyText"/>
        <w:numPr>
          <w:ilvl w:val="0"/>
          <w:numId w:val="26"/>
        </w:numPr>
        <w:spacing w:after="0"/>
        <w:jc w:val="both"/>
        <w:rPr>
          <w:rFonts w:asciiTheme="majorHAnsi" w:hAnsiTheme="majorHAnsi" w:cstheme="majorHAnsi"/>
        </w:rPr>
      </w:pPr>
      <w:r>
        <w:rPr>
          <w:rFonts w:asciiTheme="majorHAnsi" w:hAnsiTheme="majorHAnsi"/>
        </w:rPr>
        <w:t>Analiza të rregullta për cenueshmërinë dhe rrezikun lidhur me infrastrukturën rrugore (masë e butë, 457 000 USD, 2026-2027)</w:t>
      </w:r>
    </w:p>
    <w:p w14:paraId="34C6414F" w14:textId="77777777" w:rsidR="00B1381B" w:rsidRPr="00D21F4F" w:rsidRDefault="00B1381B" w:rsidP="0011532E">
      <w:pPr>
        <w:pStyle w:val="BodyText"/>
        <w:numPr>
          <w:ilvl w:val="0"/>
          <w:numId w:val="26"/>
        </w:numPr>
        <w:spacing w:after="0"/>
        <w:jc w:val="both"/>
        <w:rPr>
          <w:rFonts w:asciiTheme="majorHAnsi" w:hAnsiTheme="majorHAnsi" w:cstheme="majorHAnsi"/>
        </w:rPr>
      </w:pPr>
      <w:r>
        <w:rPr>
          <w:rFonts w:asciiTheme="majorHAnsi" w:hAnsiTheme="majorHAnsi"/>
        </w:rPr>
        <w:t>Studime gjeologjike për rrugët e qëndrueshme: Zgjidhje bioinxhinierike (masë e butë, 2 900 000 USD, 2026-2027)</w:t>
      </w:r>
    </w:p>
    <w:p w14:paraId="34C64150" w14:textId="77777777" w:rsidR="00B1381B" w:rsidRPr="00D21F4F" w:rsidRDefault="00B1381B" w:rsidP="0011532E">
      <w:pPr>
        <w:pStyle w:val="BodyText"/>
        <w:numPr>
          <w:ilvl w:val="0"/>
          <w:numId w:val="26"/>
        </w:numPr>
        <w:spacing w:after="0"/>
        <w:jc w:val="both"/>
        <w:rPr>
          <w:rFonts w:asciiTheme="majorHAnsi" w:hAnsiTheme="majorHAnsi" w:cstheme="majorHAnsi"/>
        </w:rPr>
      </w:pPr>
      <w:r>
        <w:rPr>
          <w:rFonts w:asciiTheme="majorHAnsi" w:hAnsiTheme="majorHAnsi"/>
        </w:rPr>
        <w:t>Përmirësimi i lëvizshmërisë urbane të qëndrueshme dhe me aftësi ripërtëritëse ndaj ndryshimeve klimatike (masë e butë, 1 200 000 USD, 2026-2027)</w:t>
      </w:r>
    </w:p>
    <w:p w14:paraId="34C64151" w14:textId="77777777" w:rsidR="00B1381B" w:rsidRPr="00D21F4F" w:rsidRDefault="00B1381B" w:rsidP="0011532E">
      <w:pPr>
        <w:pStyle w:val="BodyText"/>
        <w:numPr>
          <w:ilvl w:val="0"/>
          <w:numId w:val="26"/>
        </w:numPr>
        <w:spacing w:after="0"/>
        <w:jc w:val="both"/>
        <w:rPr>
          <w:rFonts w:asciiTheme="majorHAnsi" w:hAnsiTheme="majorHAnsi" w:cstheme="majorHAnsi"/>
        </w:rPr>
      </w:pPr>
      <w:r>
        <w:rPr>
          <w:rFonts w:asciiTheme="majorHAnsi" w:hAnsiTheme="majorHAnsi"/>
        </w:rPr>
        <w:t>Përshtatja e infrastrukturës kritike të transportit (masë e butë, 2 700 000 USD, 2026-2027)</w:t>
      </w:r>
    </w:p>
    <w:p w14:paraId="34C64152" w14:textId="77777777" w:rsidR="00B1381B" w:rsidRPr="00D21F4F" w:rsidRDefault="00B1381B" w:rsidP="0011532E">
      <w:pPr>
        <w:pStyle w:val="BodyText"/>
        <w:numPr>
          <w:ilvl w:val="0"/>
          <w:numId w:val="26"/>
        </w:numPr>
        <w:spacing w:after="0"/>
        <w:jc w:val="both"/>
        <w:rPr>
          <w:rFonts w:asciiTheme="majorHAnsi" w:hAnsiTheme="majorHAnsi" w:cstheme="majorHAnsi"/>
        </w:rPr>
      </w:pPr>
      <w:r>
        <w:rPr>
          <w:rFonts w:asciiTheme="majorHAnsi" w:hAnsiTheme="majorHAnsi"/>
        </w:rPr>
        <w:t>Integrimi i zgjidhjeve të bazuara në natyrë për qëndrueshmërinë e sektorit të transportit (masë e gjelbër, 2 029 460 000 USD, 2026-2027)</w:t>
      </w:r>
    </w:p>
    <w:p w14:paraId="34C64153" w14:textId="77777777" w:rsidR="00B1381B" w:rsidRPr="00D21F4F" w:rsidRDefault="00B1381B" w:rsidP="0011532E">
      <w:pPr>
        <w:pStyle w:val="BodyText"/>
        <w:numPr>
          <w:ilvl w:val="0"/>
          <w:numId w:val="26"/>
        </w:numPr>
        <w:spacing w:after="0"/>
        <w:jc w:val="both"/>
        <w:rPr>
          <w:rFonts w:asciiTheme="majorHAnsi" w:hAnsiTheme="majorHAnsi" w:cstheme="majorHAnsi"/>
        </w:rPr>
      </w:pPr>
      <w:r>
        <w:rPr>
          <w:rFonts w:asciiTheme="majorHAnsi" w:hAnsiTheme="majorHAnsi"/>
        </w:rPr>
        <w:t>Politika për transportin e qëndrueshëm ndaj ndryshimeve klimatike (masë e butë, 218 000 USD, 2026-2027)</w:t>
      </w:r>
    </w:p>
    <w:p w14:paraId="34C64154" w14:textId="77777777" w:rsidR="00B1381B" w:rsidRDefault="00B1381B" w:rsidP="0011532E">
      <w:pPr>
        <w:pStyle w:val="BodyText"/>
        <w:numPr>
          <w:ilvl w:val="0"/>
          <w:numId w:val="26"/>
        </w:numPr>
        <w:spacing w:after="0"/>
        <w:jc w:val="both"/>
        <w:rPr>
          <w:rFonts w:asciiTheme="majorHAnsi" w:hAnsiTheme="majorHAnsi" w:cstheme="majorHAnsi"/>
        </w:rPr>
      </w:pPr>
      <w:r>
        <w:rPr>
          <w:rFonts w:asciiTheme="majorHAnsi" w:hAnsiTheme="majorHAnsi"/>
        </w:rPr>
        <w:t>Partneritete novatore për transportin e qëndrueshëm (masë e butë, 1 900 000 USD, 2026-2027)</w:t>
      </w:r>
    </w:p>
    <w:p w14:paraId="13CE847E" w14:textId="77777777" w:rsidR="00954464" w:rsidRPr="00376025" w:rsidRDefault="00954464" w:rsidP="00954464">
      <w:pPr>
        <w:pStyle w:val="BodyText"/>
        <w:spacing w:after="0"/>
        <w:jc w:val="both"/>
        <w:rPr>
          <w:rFonts w:asciiTheme="majorHAnsi" w:hAnsiTheme="majorHAnsi" w:cstheme="majorHAnsi"/>
          <w:lang w:val="it-IT"/>
        </w:rPr>
      </w:pPr>
    </w:p>
    <w:p w14:paraId="48D5EB67" w14:textId="77777777" w:rsidR="005A042B" w:rsidRDefault="005A042B" w:rsidP="004B3D23">
      <w:pPr>
        <w:pStyle w:val="BodyText"/>
        <w:numPr>
          <w:ilvl w:val="255"/>
          <w:numId w:val="0"/>
        </w:numPr>
        <w:jc w:val="both"/>
        <w:rPr>
          <w:rFonts w:asciiTheme="majorHAnsi" w:hAnsiTheme="majorHAnsi"/>
        </w:rPr>
      </w:pPr>
      <w:r>
        <w:rPr>
          <w:rFonts w:asciiTheme="majorHAnsi" w:hAnsiTheme="majorHAnsi"/>
        </w:rPr>
        <w:lastRenderedPageBreak/>
        <w:t>Zbatimi planifikohet për periudhën 2026–2036, në përputhje me ciklet kombëtare të miratimit. Korniza 10-vjeçare akomodon ngritjen e kapaciteteve, realizimin e infrastrukturës dhe monitorimin e bazuar në komente. Parashikohet të kryhet një rishikim i strukturuar afër fundit të periudhës për të çuar përpara masat në proces dhe për t'u përshtatur ndaj rreziqeve të reja, në përputhje me alokimin buxhetor të paraqitur këtu. Progresi në drejtim të përshtatjes do të gjurmohet duke përdorur një grup konciz treguesish (si p.sh. norma e zbatimit të masave të planifikuara, shtrirja kohore e rishikimeve të planit) dhe treguesit në nivel mase, sipas rastit. Analiza me shumë kritere e PKP-së vlerësoi qartësisht çdo masë lidhur me barazinë gjinore dhe përfitimet për grupet e cenueshme (gratë, të rinjtë, komunitetet e margjinalizuara), duke garantuar që prioritetet e caktuara të promovojnë qëndrueshmërinë e drejtë dhe shpërndarjen e barabartë të përfitimeve. Këto perspektiva do të ruhen përgjatë zbatimit dhe monitorimit.</w:t>
      </w:r>
    </w:p>
    <w:p w14:paraId="3E263FC9" w14:textId="6E3C4ECF" w:rsidR="00954464" w:rsidRPr="000E0134" w:rsidRDefault="005A042B" w:rsidP="000E0134">
      <w:pPr>
        <w:pStyle w:val="BodyText"/>
        <w:numPr>
          <w:ilvl w:val="255"/>
          <w:numId w:val="0"/>
        </w:numPr>
        <w:jc w:val="both"/>
        <w:rPr>
          <w:rFonts w:asciiTheme="majorHAnsi" w:hAnsiTheme="majorHAnsi"/>
        </w:rPr>
      </w:pPr>
      <w:r>
        <w:rPr>
          <w:rFonts w:asciiTheme="majorHAnsi" w:hAnsiTheme="majorHAnsi"/>
        </w:rPr>
        <w:t>Cikli i monitorimit dhe vlerësimit mbështet përditësimet periodike të planit për të pasqyruar ndryshimet rregullatore, institucionale dhe socio-ekonomike, duke garantuar që komponenti i KKP-së për përshtatjen të mbetet i zbatueshëm dhe aktual. Burimi i investimit kombinon burimet e brendshme publike me financimet e jashtme koncesionare dhe kapitalin privat, duke shfrytëzuar instrumentet e identifikuara në PKP (zërat e buxhetit publik, programet e institucioneve financiare ndërkombëtare dhe pjesëmarrja e sektorit privat/PPP-ve) me pika hyrëse të përshtatura sipas sektorit. Ky model i grumbullimit të fondeve plotëson alokimin buxhetor (2026-2036) dhe përforcohet nga evidencat e CBA-së për opsionet e infrastrukturës prioritare. Përvoja nga përgatitja e PKP-së thekson rëndësinë e harmonizimit të prioriteteve vendore afatshkurtra me objektivat kombëtarë afatgjatë (duke përfshirë me raportimin në kuadër të KKKBNK-së) dhe të zhvillimit të treguesve të prekshëm, të cilët mund të gjurmohen nga bashkitë me kapacitetet ekzistuese. Përfshirja e këtyre mësimeve në zbatim, monitorim dhe vlerësim do të përmirësojë lidershipin dhe efikasitetin.</w:t>
      </w:r>
    </w:p>
    <w:p w14:paraId="3A4E160B" w14:textId="20B67EF4" w:rsidR="00AC2EEA" w:rsidRDefault="00AC2EEA" w:rsidP="00AC2EEA">
      <w:pPr>
        <w:pStyle w:val="Caption"/>
        <w:keepNext/>
      </w:pPr>
      <w:bookmarkStart w:id="66" w:name="_Toc216778894"/>
      <w:r>
        <w:t xml:space="preserve">Tabela </w:t>
      </w:r>
      <w:r w:rsidR="00D0533E">
        <w:fldChar w:fldCharType="begin"/>
      </w:r>
      <w:r w:rsidR="00D0533E">
        <w:instrText xml:space="preserve"> SEQ Table \* ARABIC </w:instrText>
      </w:r>
      <w:r w:rsidR="00D0533E">
        <w:fldChar w:fldCharType="separate"/>
      </w:r>
      <w:r w:rsidR="00D0533E">
        <w:rPr>
          <w:noProof/>
        </w:rPr>
        <w:t>11</w:t>
      </w:r>
      <w:r w:rsidR="00D0533E">
        <w:rPr>
          <w:noProof/>
        </w:rPr>
        <w:fldChar w:fldCharType="end"/>
      </w:r>
      <w:r>
        <w:t>: Buxheti i planifikuar për kostot e masave të përshtatjes</w:t>
      </w:r>
      <w:bookmarkEnd w:id="66"/>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5"/>
        <w:gridCol w:w="1787"/>
        <w:gridCol w:w="2713"/>
      </w:tblGrid>
      <w:tr w:rsidR="00283EAC" w:rsidRPr="00D21F4F" w14:paraId="34C64157" w14:textId="77777777" w:rsidTr="000E0134">
        <w:trPr>
          <w:tblHeader/>
          <w:tblCellSpacing w:w="15" w:type="dxa"/>
          <w:jc w:val="center"/>
        </w:trPr>
        <w:tc>
          <w:tcPr>
            <w:tcW w:w="2380" w:type="dxa"/>
            <w:vAlign w:val="center"/>
            <w:hideMark/>
          </w:tcPr>
          <w:p w14:paraId="34C64155" w14:textId="317C4145" w:rsidR="00283EAC" w:rsidRPr="00D21F4F" w:rsidRDefault="00283EAC" w:rsidP="000E0134">
            <w:pPr>
              <w:pStyle w:val="BodyText"/>
              <w:jc w:val="center"/>
              <w:rPr>
                <w:rFonts w:asciiTheme="majorHAnsi" w:hAnsiTheme="majorHAnsi" w:cstheme="majorHAnsi"/>
                <w:b/>
                <w:bCs/>
              </w:rPr>
            </w:pPr>
            <w:r>
              <w:rPr>
                <w:rFonts w:asciiTheme="majorHAnsi" w:hAnsiTheme="majorHAnsi"/>
                <w:b/>
                <w:bCs/>
              </w:rPr>
              <w:t>Sektori</w:t>
            </w:r>
          </w:p>
        </w:tc>
        <w:tc>
          <w:tcPr>
            <w:tcW w:w="1757" w:type="dxa"/>
            <w:vAlign w:val="center"/>
          </w:tcPr>
          <w:p w14:paraId="09DC4D01" w14:textId="756262F2" w:rsidR="00283EAC" w:rsidRDefault="00283EAC" w:rsidP="000E0134">
            <w:pPr>
              <w:pStyle w:val="BodyText"/>
              <w:jc w:val="center"/>
              <w:rPr>
                <w:rFonts w:asciiTheme="majorHAnsi" w:hAnsiTheme="majorHAnsi"/>
                <w:b/>
                <w:bCs/>
              </w:rPr>
            </w:pPr>
            <w:r>
              <w:rPr>
                <w:rFonts w:asciiTheme="majorHAnsi" w:hAnsiTheme="majorHAnsi"/>
                <w:b/>
                <w:bCs/>
              </w:rPr>
              <w:t>Numri i masa</w:t>
            </w:r>
            <w:r w:rsidR="000E0134">
              <w:rPr>
                <w:rFonts w:asciiTheme="majorHAnsi" w:hAnsiTheme="majorHAnsi"/>
                <w:b/>
                <w:bCs/>
              </w:rPr>
              <w:t>v</w:t>
            </w:r>
            <w:r>
              <w:rPr>
                <w:rFonts w:asciiTheme="majorHAnsi" w:hAnsiTheme="majorHAnsi"/>
                <w:b/>
                <w:bCs/>
              </w:rPr>
              <w:t>e</w:t>
            </w:r>
          </w:p>
        </w:tc>
        <w:tc>
          <w:tcPr>
            <w:tcW w:w="2668" w:type="dxa"/>
            <w:vAlign w:val="center"/>
            <w:hideMark/>
          </w:tcPr>
          <w:p w14:paraId="34C64156" w14:textId="305760F3" w:rsidR="00283EAC" w:rsidRPr="00D21F4F" w:rsidRDefault="00283EAC" w:rsidP="000E0134">
            <w:pPr>
              <w:pStyle w:val="BodyText"/>
              <w:jc w:val="center"/>
              <w:rPr>
                <w:rFonts w:asciiTheme="majorHAnsi" w:hAnsiTheme="majorHAnsi" w:cstheme="majorHAnsi"/>
                <w:b/>
                <w:bCs/>
              </w:rPr>
            </w:pPr>
            <w:r>
              <w:rPr>
                <w:rFonts w:asciiTheme="majorHAnsi" w:hAnsiTheme="majorHAnsi"/>
                <w:b/>
                <w:bCs/>
              </w:rPr>
              <w:t>Buxheti i pwrafwrt (USD)</w:t>
            </w:r>
          </w:p>
        </w:tc>
      </w:tr>
      <w:tr w:rsidR="000E0134" w:rsidRPr="00D21F4F" w14:paraId="34C6415A" w14:textId="77777777" w:rsidTr="000E0134">
        <w:trPr>
          <w:tblCellSpacing w:w="15" w:type="dxa"/>
          <w:jc w:val="center"/>
        </w:trPr>
        <w:tc>
          <w:tcPr>
            <w:tcW w:w="2380" w:type="dxa"/>
            <w:vAlign w:val="center"/>
            <w:hideMark/>
          </w:tcPr>
          <w:p w14:paraId="34C64158" w14:textId="0A7F8154" w:rsidR="000E0134" w:rsidRPr="00D21F4F" w:rsidRDefault="000E0134" w:rsidP="000E0134">
            <w:pPr>
              <w:pStyle w:val="BodyText"/>
              <w:jc w:val="center"/>
              <w:rPr>
                <w:rFonts w:asciiTheme="majorHAnsi" w:hAnsiTheme="majorHAnsi" w:cstheme="majorHAnsi"/>
              </w:rPr>
            </w:pPr>
            <w:r>
              <w:rPr>
                <w:rFonts w:asciiTheme="majorHAnsi" w:hAnsiTheme="majorHAnsi"/>
              </w:rPr>
              <w:t>Nd</w:t>
            </w:r>
            <w:r w:rsidR="007966BB">
              <w:rPr>
                <w:rFonts w:asciiTheme="majorHAnsi" w:hAnsiTheme="majorHAnsi"/>
              </w:rPr>
              <w:t>ë</w:t>
            </w:r>
            <w:r>
              <w:rPr>
                <w:rFonts w:asciiTheme="majorHAnsi" w:hAnsiTheme="majorHAnsi"/>
              </w:rPr>
              <w:t>rsektorial</w:t>
            </w:r>
          </w:p>
        </w:tc>
        <w:tc>
          <w:tcPr>
            <w:tcW w:w="1757" w:type="dxa"/>
          </w:tcPr>
          <w:p w14:paraId="2E12E5F1" w14:textId="413B3BF5" w:rsidR="000E0134" w:rsidRDefault="000E0134" w:rsidP="000E0134">
            <w:pPr>
              <w:pStyle w:val="BodyText"/>
              <w:jc w:val="center"/>
              <w:rPr>
                <w:rFonts w:asciiTheme="majorHAnsi" w:hAnsiTheme="majorHAnsi"/>
              </w:rPr>
            </w:pPr>
            <w:r>
              <w:rPr>
                <w:rFonts w:asciiTheme="majorHAnsi" w:hAnsiTheme="majorHAnsi"/>
              </w:rPr>
              <w:t>10</w:t>
            </w:r>
          </w:p>
        </w:tc>
        <w:tc>
          <w:tcPr>
            <w:tcW w:w="2668" w:type="dxa"/>
            <w:hideMark/>
          </w:tcPr>
          <w:p w14:paraId="34C64159" w14:textId="6DDA20D0" w:rsidR="000E0134" w:rsidRPr="00D21F4F" w:rsidRDefault="000E0134" w:rsidP="000E0134">
            <w:pPr>
              <w:pStyle w:val="BodyText"/>
              <w:jc w:val="center"/>
              <w:rPr>
                <w:rFonts w:asciiTheme="majorHAnsi" w:hAnsiTheme="majorHAnsi" w:cstheme="majorHAnsi"/>
              </w:rPr>
            </w:pPr>
            <w:r>
              <w:rPr>
                <w:rFonts w:asciiTheme="majorHAnsi" w:hAnsiTheme="majorHAnsi" w:cstheme="majorHAnsi"/>
                <w:lang w:val="en-US"/>
              </w:rPr>
              <w:t>559Mi</w:t>
            </w:r>
          </w:p>
        </w:tc>
      </w:tr>
      <w:tr w:rsidR="000E0134" w:rsidRPr="00D21F4F" w14:paraId="34C6415D" w14:textId="77777777" w:rsidTr="000E0134">
        <w:trPr>
          <w:tblCellSpacing w:w="15" w:type="dxa"/>
          <w:jc w:val="center"/>
        </w:trPr>
        <w:tc>
          <w:tcPr>
            <w:tcW w:w="2380" w:type="dxa"/>
            <w:vAlign w:val="center"/>
            <w:hideMark/>
          </w:tcPr>
          <w:p w14:paraId="34C6415B" w14:textId="52E257D5" w:rsidR="000E0134" w:rsidRPr="00D21F4F" w:rsidRDefault="000E0134" w:rsidP="000E0134">
            <w:pPr>
              <w:pStyle w:val="BodyText"/>
              <w:jc w:val="center"/>
              <w:rPr>
                <w:rFonts w:asciiTheme="majorHAnsi" w:hAnsiTheme="majorHAnsi" w:cstheme="majorHAnsi"/>
              </w:rPr>
            </w:pPr>
            <w:r>
              <w:rPr>
                <w:rFonts w:asciiTheme="majorHAnsi" w:hAnsiTheme="majorHAnsi"/>
              </w:rPr>
              <w:t>Bujq</w:t>
            </w:r>
            <w:r w:rsidR="007966BB">
              <w:rPr>
                <w:rFonts w:asciiTheme="majorHAnsi" w:hAnsiTheme="majorHAnsi"/>
              </w:rPr>
              <w:t>ë</w:t>
            </w:r>
            <w:r>
              <w:rPr>
                <w:rFonts w:asciiTheme="majorHAnsi" w:hAnsiTheme="majorHAnsi"/>
              </w:rPr>
              <w:t>si</w:t>
            </w:r>
          </w:p>
        </w:tc>
        <w:tc>
          <w:tcPr>
            <w:tcW w:w="1757" w:type="dxa"/>
          </w:tcPr>
          <w:p w14:paraId="388DD77F" w14:textId="4BC793DC" w:rsidR="000E0134" w:rsidRDefault="000E0134" w:rsidP="000E0134">
            <w:pPr>
              <w:pStyle w:val="BodyText"/>
              <w:jc w:val="center"/>
              <w:rPr>
                <w:rFonts w:asciiTheme="majorHAnsi" w:hAnsiTheme="majorHAnsi"/>
              </w:rPr>
            </w:pPr>
            <w:r>
              <w:rPr>
                <w:rFonts w:asciiTheme="majorHAnsi" w:hAnsiTheme="majorHAnsi"/>
              </w:rPr>
              <w:t>14</w:t>
            </w:r>
          </w:p>
        </w:tc>
        <w:tc>
          <w:tcPr>
            <w:tcW w:w="2668" w:type="dxa"/>
            <w:hideMark/>
          </w:tcPr>
          <w:p w14:paraId="34C6415C" w14:textId="307B46F9" w:rsidR="000E0134" w:rsidRPr="00D21F4F" w:rsidRDefault="000E0134" w:rsidP="000E0134">
            <w:pPr>
              <w:pStyle w:val="BodyText"/>
              <w:jc w:val="center"/>
              <w:rPr>
                <w:rFonts w:asciiTheme="majorHAnsi" w:hAnsiTheme="majorHAnsi" w:cstheme="majorHAnsi"/>
              </w:rPr>
            </w:pPr>
            <w:r>
              <w:rPr>
                <w:rFonts w:asciiTheme="majorHAnsi" w:hAnsiTheme="majorHAnsi" w:cstheme="majorHAnsi"/>
                <w:lang w:val="en-US"/>
              </w:rPr>
              <w:t>2.8Bi</w:t>
            </w:r>
          </w:p>
        </w:tc>
      </w:tr>
      <w:tr w:rsidR="000E0134" w:rsidRPr="00D21F4F" w14:paraId="34C64160" w14:textId="77777777" w:rsidTr="000E0134">
        <w:trPr>
          <w:tblCellSpacing w:w="15" w:type="dxa"/>
          <w:jc w:val="center"/>
        </w:trPr>
        <w:tc>
          <w:tcPr>
            <w:tcW w:w="2380" w:type="dxa"/>
            <w:vAlign w:val="center"/>
            <w:hideMark/>
          </w:tcPr>
          <w:p w14:paraId="34C6415E" w14:textId="024CE7A6" w:rsidR="000E0134" w:rsidRPr="00D21F4F" w:rsidRDefault="000E0134" w:rsidP="000E0134">
            <w:pPr>
              <w:pStyle w:val="BodyText"/>
              <w:jc w:val="center"/>
              <w:rPr>
                <w:rFonts w:asciiTheme="majorHAnsi" w:hAnsiTheme="majorHAnsi" w:cstheme="majorHAnsi"/>
              </w:rPr>
            </w:pPr>
            <w:r>
              <w:rPr>
                <w:rFonts w:asciiTheme="majorHAnsi" w:hAnsiTheme="majorHAnsi"/>
              </w:rPr>
              <w:t>Pylltari dhe kullota</w:t>
            </w:r>
          </w:p>
        </w:tc>
        <w:tc>
          <w:tcPr>
            <w:tcW w:w="1757" w:type="dxa"/>
          </w:tcPr>
          <w:p w14:paraId="382F010A" w14:textId="42803F21" w:rsidR="000E0134" w:rsidRDefault="000E0134" w:rsidP="000E0134">
            <w:pPr>
              <w:pStyle w:val="BodyText"/>
              <w:jc w:val="center"/>
              <w:rPr>
                <w:rFonts w:asciiTheme="majorHAnsi" w:hAnsiTheme="majorHAnsi"/>
              </w:rPr>
            </w:pPr>
            <w:r>
              <w:rPr>
                <w:rFonts w:asciiTheme="majorHAnsi" w:hAnsiTheme="majorHAnsi"/>
              </w:rPr>
              <w:t>7</w:t>
            </w:r>
          </w:p>
        </w:tc>
        <w:tc>
          <w:tcPr>
            <w:tcW w:w="2668" w:type="dxa"/>
            <w:hideMark/>
          </w:tcPr>
          <w:p w14:paraId="34C6415F" w14:textId="37F1FC3A" w:rsidR="000E0134" w:rsidRPr="00D21F4F" w:rsidRDefault="000E0134" w:rsidP="000E0134">
            <w:pPr>
              <w:pStyle w:val="BodyText"/>
              <w:jc w:val="center"/>
              <w:rPr>
                <w:rFonts w:asciiTheme="majorHAnsi" w:hAnsiTheme="majorHAnsi" w:cstheme="majorHAnsi"/>
              </w:rPr>
            </w:pPr>
            <w:r>
              <w:rPr>
                <w:rFonts w:asciiTheme="majorHAnsi" w:hAnsiTheme="majorHAnsi" w:cstheme="majorHAnsi"/>
                <w:lang w:val="en-US"/>
              </w:rPr>
              <w:t>1.5Bi</w:t>
            </w:r>
          </w:p>
        </w:tc>
      </w:tr>
      <w:tr w:rsidR="000E0134" w:rsidRPr="00D21F4F" w14:paraId="06AAB0C8" w14:textId="77777777" w:rsidTr="000E0134">
        <w:trPr>
          <w:tblCellSpacing w:w="15" w:type="dxa"/>
          <w:jc w:val="center"/>
        </w:trPr>
        <w:tc>
          <w:tcPr>
            <w:tcW w:w="2380" w:type="dxa"/>
            <w:vAlign w:val="center"/>
          </w:tcPr>
          <w:p w14:paraId="7DE72B8E" w14:textId="4D613B5F" w:rsidR="000E0134" w:rsidRDefault="000E0134" w:rsidP="000E0134">
            <w:pPr>
              <w:pStyle w:val="BodyText"/>
              <w:jc w:val="center"/>
              <w:rPr>
                <w:rFonts w:asciiTheme="majorHAnsi" w:hAnsiTheme="majorHAnsi"/>
              </w:rPr>
            </w:pPr>
            <w:r>
              <w:rPr>
                <w:rFonts w:asciiTheme="majorHAnsi" w:hAnsiTheme="majorHAnsi"/>
              </w:rPr>
              <w:t>Turizmi</w:t>
            </w:r>
          </w:p>
        </w:tc>
        <w:tc>
          <w:tcPr>
            <w:tcW w:w="1757" w:type="dxa"/>
          </w:tcPr>
          <w:p w14:paraId="287ED81B" w14:textId="7C473DAF" w:rsidR="000E0134" w:rsidRDefault="000E0134" w:rsidP="000E0134">
            <w:pPr>
              <w:pStyle w:val="BodyText"/>
              <w:jc w:val="center"/>
              <w:rPr>
                <w:rFonts w:asciiTheme="majorHAnsi" w:hAnsiTheme="majorHAnsi"/>
              </w:rPr>
            </w:pPr>
            <w:r>
              <w:rPr>
                <w:rFonts w:asciiTheme="majorHAnsi" w:hAnsiTheme="majorHAnsi"/>
              </w:rPr>
              <w:t>11</w:t>
            </w:r>
          </w:p>
        </w:tc>
        <w:tc>
          <w:tcPr>
            <w:tcW w:w="2668" w:type="dxa"/>
          </w:tcPr>
          <w:p w14:paraId="25353E7B" w14:textId="5966163C" w:rsidR="000E0134" w:rsidRDefault="000E0134" w:rsidP="000E0134">
            <w:pPr>
              <w:pStyle w:val="BodyText"/>
              <w:jc w:val="center"/>
              <w:rPr>
                <w:rFonts w:asciiTheme="majorHAnsi" w:hAnsiTheme="majorHAnsi"/>
              </w:rPr>
            </w:pPr>
            <w:r>
              <w:rPr>
                <w:rFonts w:asciiTheme="majorHAnsi" w:hAnsiTheme="majorHAnsi" w:cstheme="majorHAnsi"/>
                <w:lang w:val="en-US"/>
              </w:rPr>
              <w:t>8.5Mi</w:t>
            </w:r>
          </w:p>
        </w:tc>
      </w:tr>
      <w:tr w:rsidR="000E0134" w:rsidRPr="00D21F4F" w14:paraId="21C1270A" w14:textId="77777777" w:rsidTr="000E0134">
        <w:trPr>
          <w:tblCellSpacing w:w="15" w:type="dxa"/>
          <w:jc w:val="center"/>
        </w:trPr>
        <w:tc>
          <w:tcPr>
            <w:tcW w:w="2380" w:type="dxa"/>
            <w:vAlign w:val="center"/>
          </w:tcPr>
          <w:p w14:paraId="4CB7976A" w14:textId="76FA17BA" w:rsidR="000E0134" w:rsidRDefault="000E0134" w:rsidP="000E0134">
            <w:pPr>
              <w:pStyle w:val="BodyText"/>
              <w:jc w:val="center"/>
              <w:rPr>
                <w:rFonts w:asciiTheme="majorHAnsi" w:hAnsiTheme="majorHAnsi"/>
              </w:rPr>
            </w:pPr>
            <w:r>
              <w:rPr>
                <w:rFonts w:asciiTheme="majorHAnsi" w:hAnsiTheme="majorHAnsi"/>
              </w:rPr>
              <w:t>Zhvillimi Urban</w:t>
            </w:r>
          </w:p>
        </w:tc>
        <w:tc>
          <w:tcPr>
            <w:tcW w:w="1757" w:type="dxa"/>
          </w:tcPr>
          <w:p w14:paraId="3A3899E5" w14:textId="541650A5" w:rsidR="000E0134" w:rsidRDefault="000E0134" w:rsidP="000E0134">
            <w:pPr>
              <w:pStyle w:val="BodyText"/>
              <w:jc w:val="center"/>
              <w:rPr>
                <w:rFonts w:asciiTheme="majorHAnsi" w:hAnsiTheme="majorHAnsi"/>
              </w:rPr>
            </w:pPr>
            <w:r>
              <w:rPr>
                <w:rFonts w:asciiTheme="majorHAnsi" w:hAnsiTheme="majorHAnsi"/>
              </w:rPr>
              <w:t>9</w:t>
            </w:r>
          </w:p>
        </w:tc>
        <w:tc>
          <w:tcPr>
            <w:tcW w:w="2668" w:type="dxa"/>
          </w:tcPr>
          <w:p w14:paraId="2874BE9C" w14:textId="3C6FDB7B" w:rsidR="000E0134" w:rsidRDefault="000E0134" w:rsidP="000E0134">
            <w:pPr>
              <w:pStyle w:val="BodyText"/>
              <w:jc w:val="center"/>
              <w:rPr>
                <w:rFonts w:asciiTheme="majorHAnsi" w:hAnsiTheme="majorHAnsi"/>
              </w:rPr>
            </w:pPr>
            <w:r>
              <w:rPr>
                <w:rFonts w:asciiTheme="majorHAnsi" w:hAnsiTheme="majorHAnsi" w:cstheme="majorHAnsi"/>
                <w:lang w:val="en-US"/>
              </w:rPr>
              <w:t>2.7Bi</w:t>
            </w:r>
          </w:p>
        </w:tc>
      </w:tr>
      <w:tr w:rsidR="000E0134" w:rsidRPr="00D21F4F" w14:paraId="6D5F4DEC" w14:textId="77777777" w:rsidTr="000E0134">
        <w:trPr>
          <w:tblCellSpacing w:w="15" w:type="dxa"/>
          <w:jc w:val="center"/>
        </w:trPr>
        <w:tc>
          <w:tcPr>
            <w:tcW w:w="2380" w:type="dxa"/>
            <w:vAlign w:val="center"/>
          </w:tcPr>
          <w:p w14:paraId="2730D69B" w14:textId="201BC12D" w:rsidR="000E0134" w:rsidRDefault="000E0134" w:rsidP="000E0134">
            <w:pPr>
              <w:pStyle w:val="BodyText"/>
              <w:jc w:val="center"/>
              <w:rPr>
                <w:rFonts w:asciiTheme="majorHAnsi" w:hAnsiTheme="majorHAnsi"/>
              </w:rPr>
            </w:pPr>
            <w:r>
              <w:rPr>
                <w:rFonts w:asciiTheme="majorHAnsi" w:hAnsiTheme="majorHAnsi"/>
              </w:rPr>
              <w:t>Energjia</w:t>
            </w:r>
          </w:p>
        </w:tc>
        <w:tc>
          <w:tcPr>
            <w:tcW w:w="1757" w:type="dxa"/>
          </w:tcPr>
          <w:p w14:paraId="17A5CD35" w14:textId="77209D55" w:rsidR="000E0134" w:rsidRDefault="000E0134" w:rsidP="000E0134">
            <w:pPr>
              <w:pStyle w:val="BodyText"/>
              <w:jc w:val="center"/>
              <w:rPr>
                <w:rFonts w:asciiTheme="majorHAnsi" w:hAnsiTheme="majorHAnsi"/>
              </w:rPr>
            </w:pPr>
            <w:r>
              <w:rPr>
                <w:rFonts w:asciiTheme="majorHAnsi" w:hAnsiTheme="majorHAnsi"/>
              </w:rPr>
              <w:t>8</w:t>
            </w:r>
          </w:p>
        </w:tc>
        <w:tc>
          <w:tcPr>
            <w:tcW w:w="2668" w:type="dxa"/>
          </w:tcPr>
          <w:p w14:paraId="4EBE1603" w14:textId="2A43D5CD" w:rsidR="000E0134" w:rsidRDefault="000E0134" w:rsidP="000E0134">
            <w:pPr>
              <w:pStyle w:val="BodyText"/>
              <w:jc w:val="center"/>
              <w:rPr>
                <w:rFonts w:asciiTheme="majorHAnsi" w:hAnsiTheme="majorHAnsi"/>
              </w:rPr>
            </w:pPr>
            <w:r>
              <w:rPr>
                <w:rFonts w:asciiTheme="majorHAnsi" w:hAnsiTheme="majorHAnsi" w:cstheme="majorHAnsi"/>
                <w:lang w:val="en-US"/>
              </w:rPr>
              <w:t>2.0Bi</w:t>
            </w:r>
          </w:p>
        </w:tc>
      </w:tr>
      <w:tr w:rsidR="000E0134" w:rsidRPr="00D21F4F" w14:paraId="5D23A513" w14:textId="77777777" w:rsidTr="000E0134">
        <w:trPr>
          <w:tblCellSpacing w:w="15" w:type="dxa"/>
          <w:jc w:val="center"/>
        </w:trPr>
        <w:tc>
          <w:tcPr>
            <w:tcW w:w="2380" w:type="dxa"/>
            <w:vAlign w:val="center"/>
          </w:tcPr>
          <w:p w14:paraId="1CC9A9F7" w14:textId="6BA213CB" w:rsidR="000E0134" w:rsidRDefault="000E0134" w:rsidP="000E0134">
            <w:pPr>
              <w:pStyle w:val="BodyText"/>
              <w:jc w:val="center"/>
              <w:rPr>
                <w:rFonts w:asciiTheme="majorHAnsi" w:hAnsiTheme="majorHAnsi"/>
              </w:rPr>
            </w:pPr>
            <w:r>
              <w:rPr>
                <w:rFonts w:asciiTheme="majorHAnsi" w:hAnsiTheme="majorHAnsi"/>
              </w:rPr>
              <w:t>Transport</w:t>
            </w:r>
          </w:p>
        </w:tc>
        <w:tc>
          <w:tcPr>
            <w:tcW w:w="1757" w:type="dxa"/>
          </w:tcPr>
          <w:p w14:paraId="7F8A20B3" w14:textId="3940CC73" w:rsidR="000E0134" w:rsidRDefault="000E0134" w:rsidP="000E0134">
            <w:pPr>
              <w:pStyle w:val="BodyText"/>
              <w:jc w:val="center"/>
              <w:rPr>
                <w:rFonts w:asciiTheme="majorHAnsi" w:hAnsiTheme="majorHAnsi"/>
              </w:rPr>
            </w:pPr>
            <w:r>
              <w:rPr>
                <w:rFonts w:asciiTheme="majorHAnsi" w:hAnsiTheme="majorHAnsi"/>
              </w:rPr>
              <w:t>7</w:t>
            </w:r>
          </w:p>
        </w:tc>
        <w:tc>
          <w:tcPr>
            <w:tcW w:w="2668" w:type="dxa"/>
          </w:tcPr>
          <w:p w14:paraId="7115672A" w14:textId="18BAD39D" w:rsidR="000E0134" w:rsidRDefault="000E0134" w:rsidP="000E0134">
            <w:pPr>
              <w:pStyle w:val="BodyText"/>
              <w:jc w:val="center"/>
              <w:rPr>
                <w:rFonts w:asciiTheme="majorHAnsi" w:hAnsiTheme="majorHAnsi"/>
              </w:rPr>
            </w:pPr>
            <w:r>
              <w:rPr>
                <w:rFonts w:asciiTheme="majorHAnsi" w:hAnsiTheme="majorHAnsi" w:cstheme="majorHAnsi"/>
                <w:lang w:val="en-US"/>
              </w:rPr>
              <w:t>2.1Bi</w:t>
            </w:r>
          </w:p>
        </w:tc>
      </w:tr>
      <w:tr w:rsidR="00283EAC" w:rsidRPr="00D21F4F" w14:paraId="34C64163" w14:textId="77777777" w:rsidTr="000E0134">
        <w:trPr>
          <w:tblCellSpacing w:w="15" w:type="dxa"/>
          <w:jc w:val="center"/>
        </w:trPr>
        <w:tc>
          <w:tcPr>
            <w:tcW w:w="2380" w:type="dxa"/>
            <w:vAlign w:val="center"/>
            <w:hideMark/>
          </w:tcPr>
          <w:p w14:paraId="34C64161" w14:textId="77777777" w:rsidR="00283EAC" w:rsidRPr="003C792D" w:rsidRDefault="00283EAC" w:rsidP="000E0134">
            <w:pPr>
              <w:pStyle w:val="BodyText"/>
              <w:jc w:val="center"/>
              <w:rPr>
                <w:rFonts w:asciiTheme="majorHAnsi" w:hAnsiTheme="majorHAnsi" w:cstheme="majorHAnsi"/>
                <w:b/>
                <w:bCs/>
              </w:rPr>
            </w:pPr>
            <w:r>
              <w:rPr>
                <w:rFonts w:asciiTheme="majorHAnsi" w:hAnsiTheme="majorHAnsi"/>
                <w:b/>
                <w:bCs/>
              </w:rPr>
              <w:t>Totali</w:t>
            </w:r>
          </w:p>
        </w:tc>
        <w:tc>
          <w:tcPr>
            <w:tcW w:w="1757" w:type="dxa"/>
          </w:tcPr>
          <w:p w14:paraId="1CC918D1" w14:textId="262EABBE" w:rsidR="00283EAC" w:rsidRDefault="000E0134" w:rsidP="000E0134">
            <w:pPr>
              <w:pStyle w:val="BodyText"/>
              <w:jc w:val="center"/>
              <w:rPr>
                <w:rFonts w:asciiTheme="majorHAnsi" w:hAnsiTheme="majorHAnsi"/>
                <w:b/>
                <w:bCs/>
              </w:rPr>
            </w:pPr>
            <w:r>
              <w:rPr>
                <w:rFonts w:asciiTheme="majorHAnsi" w:hAnsiTheme="majorHAnsi"/>
                <w:b/>
                <w:bCs/>
              </w:rPr>
              <w:t>66</w:t>
            </w:r>
          </w:p>
        </w:tc>
        <w:tc>
          <w:tcPr>
            <w:tcW w:w="2668" w:type="dxa"/>
            <w:vAlign w:val="center"/>
            <w:hideMark/>
          </w:tcPr>
          <w:p w14:paraId="34C64162" w14:textId="103354C1" w:rsidR="00283EAC" w:rsidRPr="003C792D" w:rsidRDefault="000E0134" w:rsidP="000E0134">
            <w:pPr>
              <w:pStyle w:val="BodyText"/>
              <w:jc w:val="center"/>
              <w:rPr>
                <w:rFonts w:asciiTheme="majorHAnsi" w:hAnsiTheme="majorHAnsi" w:cstheme="majorHAnsi"/>
                <w:b/>
                <w:bCs/>
              </w:rPr>
            </w:pPr>
            <w:r>
              <w:rPr>
                <w:rFonts w:asciiTheme="majorHAnsi" w:hAnsiTheme="majorHAnsi" w:cstheme="majorHAnsi"/>
                <w:b/>
                <w:bCs/>
                <w:lang w:val="en-US"/>
              </w:rPr>
              <w:t>9.8Bi</w:t>
            </w:r>
          </w:p>
        </w:tc>
      </w:tr>
    </w:tbl>
    <w:p w14:paraId="2EBAB299" w14:textId="77777777" w:rsidR="000E0134" w:rsidRPr="000E0134" w:rsidRDefault="000E0134" w:rsidP="000E0134">
      <w:pPr>
        <w:pStyle w:val="BodyText"/>
        <w:jc w:val="both"/>
        <w:rPr>
          <w:rFonts w:asciiTheme="majorHAnsi" w:hAnsiTheme="majorHAnsi" w:cstheme="majorHAnsi"/>
        </w:rPr>
      </w:pPr>
      <w:r w:rsidRPr="000E0134">
        <w:rPr>
          <w:rFonts w:asciiTheme="majorHAnsi" w:hAnsiTheme="majorHAnsi" w:cstheme="majorHAnsi"/>
        </w:rPr>
        <w:t xml:space="preserve">Shpërndarjet vjetore arrijnë kulmin në vitet 2033-2035 në mbi 1.2 miliardë dollarë amerikanë/vit, duke rënë më pas. Përafërsisht 40% e 66 masave ofrojnë bashkëpërfitime të qarta zbutëse; </w:t>
      </w:r>
      <w:r w:rsidRPr="000E0134">
        <w:rPr>
          <w:rFonts w:asciiTheme="majorHAnsi" w:hAnsiTheme="majorHAnsi" w:cstheme="majorHAnsi"/>
        </w:rPr>
        <w:lastRenderedPageBreak/>
        <w:t>Pylltaria dhe Kullotat kontribuojnë me pjesën më të madhe (&gt;60% e bashkëpërfitimeve totale, &gt;300,000 tCO₂e/vit).</w:t>
      </w:r>
    </w:p>
    <w:p w14:paraId="34C64165" w14:textId="77777777" w:rsidR="00B1381B" w:rsidRPr="00376025" w:rsidRDefault="00B1381B" w:rsidP="00B1381B">
      <w:pPr>
        <w:pStyle w:val="BodyText"/>
        <w:jc w:val="both"/>
        <w:rPr>
          <w:rFonts w:asciiTheme="majorHAnsi" w:hAnsiTheme="majorHAnsi" w:cstheme="majorHAnsi"/>
        </w:rPr>
      </w:pPr>
    </w:p>
    <w:p w14:paraId="34C64166" w14:textId="77777777" w:rsidR="004A7844" w:rsidRPr="00213150" w:rsidRDefault="00137077" w:rsidP="004A7844">
      <w:pPr>
        <w:pStyle w:val="Heading1"/>
        <w:rPr>
          <w:rFonts w:asciiTheme="majorHAnsi" w:hAnsiTheme="majorHAnsi" w:cstheme="majorHAnsi"/>
        </w:rPr>
      </w:pPr>
      <w:bookmarkStart w:id="67" w:name="_Toc216778882"/>
      <w:r>
        <w:rPr>
          <w:rFonts w:asciiTheme="majorHAnsi" w:hAnsiTheme="majorHAnsi"/>
        </w:rPr>
        <w:t>Informacion për të lehtësuar qartësinë, transparencën dhe kuptimin e dokumentit të përditësuar të kontributit kombëtar të përcaktuar të Shqipërisë për periudhën 2025-2035</w:t>
      </w:r>
      <w:bookmarkEnd w:id="67"/>
    </w:p>
    <w:p w14:paraId="34C5C261" w14:textId="3D209148" w:rsidR="00AC2EEA" w:rsidRDefault="00AC2EEA" w:rsidP="00AC2EEA">
      <w:pPr>
        <w:pStyle w:val="Caption"/>
        <w:keepNext/>
      </w:pPr>
      <w:bookmarkStart w:id="68" w:name="_Toc216778895"/>
      <w:r>
        <w:t xml:space="preserve">Tabela </w:t>
      </w:r>
      <w:r w:rsidR="00D0533E">
        <w:fldChar w:fldCharType="begin"/>
      </w:r>
      <w:r w:rsidR="00D0533E">
        <w:instrText xml:space="preserve"> SEQ Table \* ARABIC </w:instrText>
      </w:r>
      <w:r w:rsidR="00D0533E">
        <w:fldChar w:fldCharType="separate"/>
      </w:r>
      <w:r w:rsidR="00D0533E">
        <w:rPr>
          <w:noProof/>
        </w:rPr>
        <w:t>12</w:t>
      </w:r>
      <w:r w:rsidR="00D0533E">
        <w:rPr>
          <w:noProof/>
        </w:rPr>
        <w:fldChar w:fldCharType="end"/>
      </w:r>
      <w:r>
        <w:t>: Informacioni për KKP 3.0 sipas Shtojcës I të Vendimit 4/KTM.1 (Seanca e parë e Konferencës së palëve që shërben si takimi i palëve në Marrëveshjen e Parisit)</w:t>
      </w:r>
      <w:bookmarkEnd w:id="68"/>
    </w:p>
    <w:tbl>
      <w:tblPr>
        <w:tblStyle w:val="TableGrid"/>
        <w:tblW w:w="0" w:type="auto"/>
        <w:tblLook w:val="04A0" w:firstRow="1" w:lastRow="0" w:firstColumn="1" w:lastColumn="0" w:noHBand="0" w:noVBand="1"/>
      </w:tblPr>
      <w:tblGrid>
        <w:gridCol w:w="1199"/>
        <w:gridCol w:w="3816"/>
        <w:gridCol w:w="4335"/>
      </w:tblGrid>
      <w:tr w:rsidR="004A7844" w:rsidRPr="00213150" w14:paraId="34C6416B" w14:textId="77777777" w:rsidTr="008D3AB2">
        <w:trPr>
          <w:tblHeader/>
        </w:trPr>
        <w:tc>
          <w:tcPr>
            <w:tcW w:w="1317" w:type="dxa"/>
          </w:tcPr>
          <w:p w14:paraId="34C64168" w14:textId="77777777" w:rsidR="004A7844" w:rsidRPr="00213150" w:rsidRDefault="004A7844" w:rsidP="008D3AB2">
            <w:pPr>
              <w:jc w:val="center"/>
              <w:rPr>
                <w:rFonts w:asciiTheme="majorHAnsi" w:hAnsiTheme="majorHAnsi" w:cstheme="majorHAnsi"/>
                <w:b/>
                <w:bCs/>
              </w:rPr>
            </w:pPr>
            <w:r>
              <w:rPr>
                <w:rFonts w:asciiTheme="majorHAnsi" w:hAnsiTheme="majorHAnsi"/>
                <w:b/>
                <w:bCs/>
              </w:rPr>
              <w:t>Paragrafi</w:t>
            </w:r>
          </w:p>
        </w:tc>
        <w:tc>
          <w:tcPr>
            <w:tcW w:w="5518" w:type="dxa"/>
          </w:tcPr>
          <w:p w14:paraId="34C64169" w14:textId="77777777" w:rsidR="004A7844" w:rsidRPr="00213150" w:rsidRDefault="004A7844" w:rsidP="008D3AB2">
            <w:pPr>
              <w:jc w:val="center"/>
              <w:rPr>
                <w:rFonts w:asciiTheme="majorHAnsi" w:hAnsiTheme="majorHAnsi" w:cstheme="majorHAnsi"/>
                <w:b/>
                <w:bCs/>
              </w:rPr>
            </w:pPr>
            <w:r>
              <w:rPr>
                <w:rFonts w:asciiTheme="majorHAnsi" w:hAnsiTheme="majorHAnsi"/>
                <w:b/>
                <w:bCs/>
              </w:rPr>
              <w:t>Teksti nga Shtojca I e Vendimit 4/KTM.1</w:t>
            </w:r>
          </w:p>
        </w:tc>
        <w:tc>
          <w:tcPr>
            <w:tcW w:w="6115" w:type="dxa"/>
          </w:tcPr>
          <w:p w14:paraId="34C6416A" w14:textId="77777777" w:rsidR="004A7844" w:rsidRPr="00213150" w:rsidRDefault="004A7844" w:rsidP="008D3AB2">
            <w:pPr>
              <w:jc w:val="center"/>
              <w:rPr>
                <w:rFonts w:asciiTheme="majorHAnsi" w:hAnsiTheme="majorHAnsi" w:cstheme="majorHAnsi"/>
                <w:b/>
                <w:bCs/>
              </w:rPr>
            </w:pPr>
            <w:r>
              <w:rPr>
                <w:rFonts w:asciiTheme="majorHAnsi" w:hAnsiTheme="majorHAnsi"/>
                <w:b/>
                <w:bCs/>
              </w:rPr>
              <w:t>ICTU-ja e zbatueshme për KKP-në e Shqipërisë</w:t>
            </w:r>
          </w:p>
        </w:tc>
      </w:tr>
      <w:tr w:rsidR="004A7844" w:rsidRPr="00213150" w14:paraId="34C6416E" w14:textId="77777777" w:rsidTr="008D3AB2">
        <w:tc>
          <w:tcPr>
            <w:tcW w:w="1317" w:type="dxa"/>
          </w:tcPr>
          <w:p w14:paraId="34C6416C" w14:textId="77777777" w:rsidR="004A7844" w:rsidRPr="00213150" w:rsidRDefault="004A7844" w:rsidP="008D3AB2">
            <w:pPr>
              <w:rPr>
                <w:rFonts w:asciiTheme="majorHAnsi" w:hAnsiTheme="majorHAnsi" w:cstheme="majorHAnsi"/>
                <w:b/>
                <w:bCs/>
              </w:rPr>
            </w:pPr>
            <w:r>
              <w:rPr>
                <w:rFonts w:asciiTheme="majorHAnsi" w:hAnsiTheme="majorHAnsi"/>
                <w:b/>
                <w:bCs/>
              </w:rPr>
              <w:t>1</w:t>
            </w:r>
          </w:p>
        </w:tc>
        <w:tc>
          <w:tcPr>
            <w:tcW w:w="11633" w:type="dxa"/>
            <w:gridSpan w:val="2"/>
          </w:tcPr>
          <w:p w14:paraId="34C6416D" w14:textId="77777777" w:rsidR="004A7844" w:rsidRPr="00213150" w:rsidRDefault="004A7844" w:rsidP="008D3AB2">
            <w:pPr>
              <w:rPr>
                <w:rFonts w:asciiTheme="majorHAnsi" w:hAnsiTheme="majorHAnsi" w:cstheme="majorHAnsi"/>
                <w:b/>
                <w:bCs/>
              </w:rPr>
            </w:pPr>
            <w:r>
              <w:rPr>
                <w:rFonts w:asciiTheme="majorHAnsi" w:hAnsiTheme="majorHAnsi"/>
                <w:b/>
                <w:bCs/>
              </w:rPr>
              <w:t>Informacion i matshëm sasior nisur nga pika e referencës (duke përfshirë, sipas rastit, një vit bazë) 1(a)</w:t>
            </w:r>
          </w:p>
        </w:tc>
      </w:tr>
      <w:tr w:rsidR="004A7844" w:rsidRPr="00213150" w14:paraId="34C64172" w14:textId="77777777" w:rsidTr="008D3AB2">
        <w:tc>
          <w:tcPr>
            <w:tcW w:w="1317" w:type="dxa"/>
          </w:tcPr>
          <w:p w14:paraId="34C6416F" w14:textId="77777777" w:rsidR="004A7844" w:rsidRPr="00213150" w:rsidRDefault="004A7844" w:rsidP="008D3AB2">
            <w:pPr>
              <w:rPr>
                <w:rFonts w:asciiTheme="majorHAnsi" w:hAnsiTheme="majorHAnsi" w:cstheme="majorHAnsi"/>
              </w:rPr>
            </w:pPr>
            <w:r>
              <w:rPr>
                <w:rFonts w:asciiTheme="majorHAnsi" w:hAnsiTheme="majorHAnsi"/>
              </w:rPr>
              <w:t>1(a)</w:t>
            </w:r>
          </w:p>
        </w:tc>
        <w:tc>
          <w:tcPr>
            <w:tcW w:w="5518" w:type="dxa"/>
          </w:tcPr>
          <w:p w14:paraId="34C64170" w14:textId="77777777" w:rsidR="004A7844" w:rsidRPr="00213150" w:rsidRDefault="004A7844" w:rsidP="008D3AB2">
            <w:pPr>
              <w:rPr>
                <w:rFonts w:asciiTheme="majorHAnsi" w:hAnsiTheme="majorHAnsi" w:cstheme="majorHAnsi"/>
              </w:rPr>
            </w:pPr>
            <w:r>
              <w:rPr>
                <w:rFonts w:asciiTheme="majorHAnsi" w:hAnsiTheme="majorHAnsi"/>
              </w:rPr>
              <w:t xml:space="preserve">Viti(vitet) e referencës, viti(vitet) bazë, periudha(t) e referencës ose pikënisja(et) e tjera; </w:t>
            </w:r>
          </w:p>
        </w:tc>
        <w:tc>
          <w:tcPr>
            <w:tcW w:w="6115" w:type="dxa"/>
          </w:tcPr>
          <w:p w14:paraId="34C64171" w14:textId="77777777" w:rsidR="004A7844" w:rsidRPr="00213150" w:rsidRDefault="004A7844" w:rsidP="008D3AB2">
            <w:pPr>
              <w:rPr>
                <w:rFonts w:asciiTheme="majorHAnsi" w:hAnsiTheme="majorHAnsi" w:cstheme="majorHAnsi"/>
              </w:rPr>
            </w:pPr>
            <w:r>
              <w:rPr>
                <w:rFonts w:asciiTheme="majorHAnsi" w:hAnsiTheme="majorHAnsi"/>
              </w:rPr>
              <w:t>Viti bazë: 1990</w:t>
            </w:r>
          </w:p>
        </w:tc>
      </w:tr>
      <w:tr w:rsidR="004A7844" w:rsidRPr="00213150" w14:paraId="34C64176" w14:textId="77777777" w:rsidTr="008D3AB2">
        <w:tc>
          <w:tcPr>
            <w:tcW w:w="1317" w:type="dxa"/>
          </w:tcPr>
          <w:p w14:paraId="34C64173" w14:textId="77777777" w:rsidR="004A7844" w:rsidRPr="00213150" w:rsidRDefault="004A7844" w:rsidP="008D3AB2">
            <w:pPr>
              <w:rPr>
                <w:rFonts w:asciiTheme="majorHAnsi" w:hAnsiTheme="majorHAnsi" w:cstheme="majorHAnsi"/>
              </w:rPr>
            </w:pPr>
            <w:r>
              <w:rPr>
                <w:rFonts w:asciiTheme="majorHAnsi" w:hAnsiTheme="majorHAnsi"/>
              </w:rPr>
              <w:t>1(b)</w:t>
            </w:r>
          </w:p>
        </w:tc>
        <w:tc>
          <w:tcPr>
            <w:tcW w:w="5518" w:type="dxa"/>
          </w:tcPr>
          <w:p w14:paraId="34C64174" w14:textId="77777777" w:rsidR="004A7844" w:rsidRPr="00213150" w:rsidRDefault="004A7844" w:rsidP="008D3AB2">
            <w:pPr>
              <w:rPr>
                <w:rFonts w:asciiTheme="majorHAnsi" w:hAnsiTheme="majorHAnsi" w:cstheme="majorHAnsi"/>
              </w:rPr>
            </w:pPr>
            <w:r>
              <w:rPr>
                <w:rFonts w:asciiTheme="majorHAnsi" w:hAnsiTheme="majorHAnsi"/>
              </w:rPr>
              <w:t xml:space="preserve">Informacion i matshëm sasior nisur nga treguesit e referencës, vlerat e tyre në vitin(vitet) e referencës, vitin(vitet) bazë, periudhën(at) e referencës ose pikënisjen(t) e tjera dhe, sipas rastit, në vitin e synuar; </w:t>
            </w:r>
          </w:p>
        </w:tc>
        <w:tc>
          <w:tcPr>
            <w:tcW w:w="6115" w:type="dxa"/>
          </w:tcPr>
          <w:p w14:paraId="34C64175" w14:textId="77777777" w:rsidR="004A7844" w:rsidRPr="00213150" w:rsidRDefault="004A7844" w:rsidP="008D3AB2">
            <w:pPr>
              <w:rPr>
                <w:rFonts w:asciiTheme="majorHAnsi" w:hAnsiTheme="majorHAnsi" w:cstheme="majorHAnsi"/>
              </w:rPr>
            </w:pPr>
            <w:r>
              <w:rPr>
                <w:rFonts w:asciiTheme="majorHAnsi" w:hAnsiTheme="majorHAnsi"/>
              </w:rPr>
              <w:t>Treguesi i referencës do të matet duke përdorur nivelet totale kombëtare të raportuara në Raportin e Inventarit Kombëtar të Shqipërisë. Këto vlera mund të përditësohen për të pasqyruar përmirësimet metodologjike në inventarin e gazeve me efekt serrë (GES).</w:t>
            </w:r>
          </w:p>
        </w:tc>
      </w:tr>
      <w:tr w:rsidR="004A7844" w:rsidRPr="00213150" w14:paraId="34C6417A" w14:textId="77777777" w:rsidTr="008D3AB2">
        <w:tc>
          <w:tcPr>
            <w:tcW w:w="1317" w:type="dxa"/>
          </w:tcPr>
          <w:p w14:paraId="34C64177" w14:textId="77777777" w:rsidR="004A7844" w:rsidRPr="00213150" w:rsidRDefault="004A7844" w:rsidP="008D3AB2">
            <w:pPr>
              <w:rPr>
                <w:rFonts w:asciiTheme="majorHAnsi" w:hAnsiTheme="majorHAnsi" w:cstheme="majorHAnsi"/>
              </w:rPr>
            </w:pPr>
            <w:r>
              <w:rPr>
                <w:rFonts w:asciiTheme="majorHAnsi" w:hAnsiTheme="majorHAnsi"/>
              </w:rPr>
              <w:t>1(c)</w:t>
            </w:r>
          </w:p>
        </w:tc>
        <w:tc>
          <w:tcPr>
            <w:tcW w:w="5518" w:type="dxa"/>
          </w:tcPr>
          <w:p w14:paraId="34C64178" w14:textId="77777777" w:rsidR="004A7844" w:rsidRPr="00213150" w:rsidRDefault="004A7844" w:rsidP="008D3AB2">
            <w:pPr>
              <w:rPr>
                <w:rFonts w:asciiTheme="majorHAnsi" w:hAnsiTheme="majorHAnsi" w:cstheme="majorHAnsi"/>
              </w:rPr>
            </w:pPr>
            <w:r>
              <w:rPr>
                <w:rFonts w:asciiTheme="majorHAnsi" w:hAnsiTheme="majorHAnsi"/>
              </w:rPr>
              <w:t>Për strategjitë, planet dhe veprimet e përmendura në nenin 4, paragrafi 6, i Marrëveshjes së Parisit, ose për politikat dhe masat si komponentë të kontributeve kombëtare të përcaktuara, për të cilat pika 1, germa "b" më sipër nuk zbatohet, Palët duhet të sigurojnë informacione të tjera përkatëse;</w:t>
            </w:r>
          </w:p>
        </w:tc>
        <w:tc>
          <w:tcPr>
            <w:tcW w:w="6115" w:type="dxa"/>
          </w:tcPr>
          <w:p w14:paraId="34C64179" w14:textId="77777777" w:rsidR="004A7844" w:rsidRPr="00213150" w:rsidRDefault="004A7844" w:rsidP="008D3AB2">
            <w:pPr>
              <w:rPr>
                <w:rFonts w:asciiTheme="majorHAnsi" w:hAnsiTheme="majorHAnsi" w:cstheme="majorHAnsi"/>
              </w:rPr>
            </w:pPr>
            <w:r>
              <w:rPr>
                <w:rFonts w:asciiTheme="majorHAnsi" w:hAnsiTheme="majorHAnsi"/>
              </w:rPr>
              <w:t>Nuk zbatohet</w:t>
            </w:r>
          </w:p>
        </w:tc>
      </w:tr>
      <w:tr w:rsidR="004A7844" w:rsidRPr="00213150" w14:paraId="34C64180" w14:textId="77777777" w:rsidTr="008D3AB2">
        <w:tc>
          <w:tcPr>
            <w:tcW w:w="1317" w:type="dxa"/>
          </w:tcPr>
          <w:p w14:paraId="34C6417B" w14:textId="77777777" w:rsidR="004A7844" w:rsidRPr="00213150" w:rsidRDefault="004A7844" w:rsidP="008D3AB2">
            <w:pPr>
              <w:rPr>
                <w:rFonts w:asciiTheme="majorHAnsi" w:hAnsiTheme="majorHAnsi" w:cstheme="majorHAnsi"/>
              </w:rPr>
            </w:pPr>
            <w:r>
              <w:rPr>
                <w:rFonts w:asciiTheme="majorHAnsi" w:hAnsiTheme="majorHAnsi"/>
              </w:rPr>
              <w:t>1(d)</w:t>
            </w:r>
          </w:p>
        </w:tc>
        <w:tc>
          <w:tcPr>
            <w:tcW w:w="5518" w:type="dxa"/>
          </w:tcPr>
          <w:p w14:paraId="34C6417C" w14:textId="77777777" w:rsidR="004A7844" w:rsidRPr="00213150" w:rsidRDefault="004A7844" w:rsidP="008D3AB2">
            <w:pPr>
              <w:rPr>
                <w:rFonts w:asciiTheme="majorHAnsi" w:hAnsiTheme="majorHAnsi" w:cstheme="majorHAnsi"/>
              </w:rPr>
            </w:pPr>
            <w:r>
              <w:rPr>
                <w:rFonts w:asciiTheme="majorHAnsi" w:hAnsiTheme="majorHAnsi"/>
              </w:rPr>
              <w:t>Objektivi i lidhur me treguesin e referencës, të jetë i shprehur numerikisht, për shembull në përqindje ose sasi reduktimi;</w:t>
            </w:r>
          </w:p>
        </w:tc>
        <w:tc>
          <w:tcPr>
            <w:tcW w:w="6115" w:type="dxa"/>
          </w:tcPr>
          <w:p w14:paraId="34C6417D" w14:textId="77777777" w:rsidR="004A7844" w:rsidRDefault="004A7844" w:rsidP="008D3AB2">
            <w:pPr>
              <w:rPr>
                <w:rFonts w:asciiTheme="majorHAnsi" w:hAnsiTheme="majorHAnsi" w:cstheme="majorHAnsi"/>
              </w:rPr>
            </w:pPr>
            <w:r>
              <w:rPr>
                <w:rFonts w:asciiTheme="majorHAnsi" w:hAnsiTheme="majorHAnsi"/>
              </w:rPr>
              <w:t xml:space="preserve">Të gjitha shkarkimet e GES-ve në nivel kombëtar (duke përfshirë në sektorin e PTNPTP-së) synohen të mbeten nën 9195 ktCO₂eq brenda vitit 2035. Ky objektiv bazohet në skenarin "me masa shtesë" (WAM) të parashikuar në Planin Kombëtar për Energjinë dhe Klimën (PKEK) 2025 të Shqipërisë. Ai përfaqëson një kufizim të </w:t>
            </w:r>
            <w:r>
              <w:rPr>
                <w:rFonts w:asciiTheme="majorHAnsi" w:hAnsiTheme="majorHAnsi"/>
              </w:rPr>
              <w:lastRenderedPageBreak/>
              <w:t>rritjes së shkarkimeve me 17,4% brenda vitit 2035 krahasuar me nivelet e vitit 1990, periudhë kur shkarkimet e GES-ve ishin 7834,07 ktCO₂eq.</w:t>
            </w:r>
          </w:p>
          <w:p w14:paraId="7F33D81D" w14:textId="77777777" w:rsidR="007D4540" w:rsidRDefault="007D4540" w:rsidP="008D3AB2">
            <w:pPr>
              <w:rPr>
                <w:rFonts w:asciiTheme="majorHAnsi" w:hAnsiTheme="majorHAnsi" w:cstheme="majorHAnsi"/>
              </w:rPr>
            </w:pPr>
          </w:p>
          <w:p w14:paraId="3CF943FB" w14:textId="77777777" w:rsidR="007D4540" w:rsidRPr="00E34692" w:rsidRDefault="007D4540" w:rsidP="007D4540">
            <w:pPr>
              <w:pStyle w:val="BodyText"/>
              <w:jc w:val="both"/>
              <w:rPr>
                <w:rFonts w:asciiTheme="majorHAnsi" w:hAnsiTheme="majorHAnsi" w:cstheme="majorHAnsi"/>
              </w:rPr>
            </w:pPr>
            <w:r>
              <w:rPr>
                <w:rFonts w:asciiTheme="majorHAnsi" w:hAnsiTheme="majorHAnsi"/>
              </w:rPr>
              <w:t xml:space="preserve">Arritja e objektivit për zbutjen brenda vitit 2035, si dhe e objektivit të ndërmjetëm të përditësuar për vitin 2030, të parashikuar në PKEK 2025 (shihni seksionin 4.2), do të kërkojë zbatim të plotë dhe financim të përshtatshëm të të gjitha masave për zbutjen të përfshira në PKEK 2025. Kjo do të sigurojë që angazhimet e lidhura me politikat të përkthehen në veprime konkrete, duke i mundësuar Shqipërisë të mbetet në rrugën e duhur drejt objektivave të saj afatgjata të dekarbonizimit.  </w:t>
            </w:r>
          </w:p>
          <w:p w14:paraId="34C6417F" w14:textId="77777777" w:rsidR="004A7844" w:rsidRPr="00213150" w:rsidRDefault="004A7844" w:rsidP="008D3AB2">
            <w:pPr>
              <w:rPr>
                <w:rFonts w:asciiTheme="majorHAnsi" w:hAnsiTheme="majorHAnsi" w:cstheme="majorHAnsi"/>
              </w:rPr>
            </w:pPr>
          </w:p>
        </w:tc>
      </w:tr>
      <w:tr w:rsidR="004A7844" w:rsidRPr="00213150" w14:paraId="34C64186" w14:textId="77777777" w:rsidTr="008D3AB2">
        <w:tc>
          <w:tcPr>
            <w:tcW w:w="1317" w:type="dxa"/>
          </w:tcPr>
          <w:p w14:paraId="34C64181" w14:textId="77777777" w:rsidR="004A7844" w:rsidRPr="00213150" w:rsidRDefault="004A7844" w:rsidP="008D3AB2">
            <w:pPr>
              <w:rPr>
                <w:rFonts w:asciiTheme="majorHAnsi" w:hAnsiTheme="majorHAnsi" w:cstheme="majorHAnsi"/>
              </w:rPr>
            </w:pPr>
            <w:r>
              <w:rPr>
                <w:rFonts w:asciiTheme="majorHAnsi" w:hAnsiTheme="majorHAnsi"/>
              </w:rPr>
              <w:lastRenderedPageBreak/>
              <w:t>1(e)</w:t>
            </w:r>
          </w:p>
        </w:tc>
        <w:tc>
          <w:tcPr>
            <w:tcW w:w="5518" w:type="dxa"/>
          </w:tcPr>
          <w:p w14:paraId="34C64182" w14:textId="77777777" w:rsidR="004A7844" w:rsidRPr="00213150" w:rsidRDefault="004A7844" w:rsidP="008D3AB2">
            <w:pPr>
              <w:rPr>
                <w:rFonts w:asciiTheme="majorHAnsi" w:hAnsiTheme="majorHAnsi" w:cstheme="majorHAnsi"/>
              </w:rPr>
            </w:pPr>
            <w:r>
              <w:rPr>
                <w:rFonts w:asciiTheme="majorHAnsi" w:hAnsiTheme="majorHAnsi"/>
              </w:rPr>
              <w:t>Informacion mbi burimet e të dhënave të përdorura për kuantifikimin e pikave të referencës;</w:t>
            </w:r>
          </w:p>
        </w:tc>
        <w:tc>
          <w:tcPr>
            <w:tcW w:w="6115" w:type="dxa"/>
          </w:tcPr>
          <w:p w14:paraId="34C64183" w14:textId="77777777" w:rsidR="004A7844" w:rsidRPr="00213150" w:rsidRDefault="004A7844" w:rsidP="008D3AB2">
            <w:pPr>
              <w:rPr>
                <w:rFonts w:asciiTheme="majorHAnsi" w:hAnsiTheme="majorHAnsi" w:cstheme="majorHAnsi"/>
              </w:rPr>
            </w:pPr>
            <w:r>
              <w:rPr>
                <w:rFonts w:asciiTheme="majorHAnsi" w:hAnsiTheme="majorHAnsi"/>
              </w:rPr>
              <w:t>Shqipëria ka rishikuar formatin e objektivit të Kontributit Kombëtar të Përcaktuar (KKP), duke kaluar nga objektivi njëvjeçar krahasuar me skenarin punë si zakonisht (BaU) te një objektiv njëvjeçar krahasuar me një vit bazë. Ky ndryshim e krahason objektivin me një vit historik referencë dhe jo me një vlerë referencë të vlerësuar, duke rritur kështu transparencën, krahasueshmërinë dhe përshtatshmërinë metodologjike.</w:t>
            </w:r>
          </w:p>
          <w:p w14:paraId="34C64184" w14:textId="0505C15C" w:rsidR="004A7844" w:rsidRPr="00213150" w:rsidRDefault="004A7844" w:rsidP="008D3AB2">
            <w:pPr>
              <w:rPr>
                <w:rFonts w:asciiTheme="majorHAnsi" w:hAnsiTheme="majorHAnsi" w:cstheme="majorHAnsi"/>
              </w:rPr>
            </w:pPr>
            <w:r>
              <w:rPr>
                <w:rFonts w:asciiTheme="majorHAnsi" w:hAnsiTheme="majorHAnsi"/>
              </w:rPr>
              <w:t xml:space="preserve">Objektivi i ri përfaqëson një </w:t>
            </w:r>
            <w:r>
              <w:rPr>
                <w:rFonts w:asciiTheme="majorHAnsi" w:hAnsiTheme="majorHAnsi"/>
                <w:b/>
                <w:bCs/>
              </w:rPr>
              <w:t xml:space="preserve">angazhim më ambicioz </w:t>
            </w:r>
            <w:r>
              <w:rPr>
                <w:rFonts w:asciiTheme="majorHAnsi" w:hAnsiTheme="majorHAnsi"/>
              </w:rPr>
              <w:t xml:space="preserve">krahasuar me KKP-në e mëparshme të Shqipërisë për vitin 2030. Sipas objektivit të mëparshëm, shkarkimet e GES-ve duhej të reduktoheshin me 20,9% krahasuar me skenarin BaU, duke kufizuar shkarkimet nën 11 978 ktCO₂eq brenda vitit 2030. Në KKP-në e përditësuar, shkarkimet e vitit 2030 synohen të mbeten nën nivelin 10 210 </w:t>
            </w:r>
            <w:r>
              <w:rPr>
                <w:rFonts w:asciiTheme="majorHAnsi" w:hAnsiTheme="majorHAnsi"/>
              </w:rPr>
              <w:lastRenderedPageBreak/>
              <w:t>ktCO₂eq, çka përkon me kufizimin e rritjes së shkarkimeve me 30,3% mbi nivelet e vitit 1990, në përputhje me PKEK 2025.</w:t>
            </w:r>
          </w:p>
          <w:p w14:paraId="34C64185" w14:textId="77777777" w:rsidR="004A7844" w:rsidRPr="00213150" w:rsidRDefault="004A7844" w:rsidP="008D3AB2">
            <w:pPr>
              <w:rPr>
                <w:rFonts w:asciiTheme="majorHAnsi" w:hAnsiTheme="majorHAnsi" w:cstheme="majorHAnsi"/>
              </w:rPr>
            </w:pPr>
            <w:r>
              <w:rPr>
                <w:rFonts w:asciiTheme="majorHAnsi" w:hAnsiTheme="majorHAnsi"/>
              </w:rPr>
              <w:t>Treguesi referencë (shkarkimet neto të GES-ve) do të matet duke përdorur të dhënat e raportuara në Raportin e Inventarit Kombëtar të Shqipërisë, i cili dorëzohet së bashku me BTR-në.</w:t>
            </w:r>
          </w:p>
        </w:tc>
      </w:tr>
      <w:tr w:rsidR="004A7844" w:rsidRPr="00213150" w14:paraId="34C6418A" w14:textId="77777777" w:rsidTr="008D3AB2">
        <w:tc>
          <w:tcPr>
            <w:tcW w:w="1317" w:type="dxa"/>
          </w:tcPr>
          <w:p w14:paraId="34C64187" w14:textId="77777777" w:rsidR="004A7844" w:rsidRPr="00213150" w:rsidRDefault="004A7844" w:rsidP="008D3AB2">
            <w:pPr>
              <w:rPr>
                <w:rFonts w:asciiTheme="majorHAnsi" w:hAnsiTheme="majorHAnsi" w:cstheme="majorHAnsi"/>
              </w:rPr>
            </w:pPr>
            <w:r>
              <w:rPr>
                <w:rFonts w:asciiTheme="majorHAnsi" w:hAnsiTheme="majorHAnsi"/>
              </w:rPr>
              <w:lastRenderedPageBreak/>
              <w:t>1(f)</w:t>
            </w:r>
          </w:p>
        </w:tc>
        <w:tc>
          <w:tcPr>
            <w:tcW w:w="5518" w:type="dxa"/>
          </w:tcPr>
          <w:p w14:paraId="34C64188" w14:textId="77777777" w:rsidR="004A7844" w:rsidRPr="00213150" w:rsidRDefault="004A7844" w:rsidP="008D3AB2">
            <w:pPr>
              <w:rPr>
                <w:rFonts w:asciiTheme="majorHAnsi" w:hAnsiTheme="majorHAnsi" w:cstheme="majorHAnsi"/>
              </w:rPr>
            </w:pPr>
            <w:r>
              <w:rPr>
                <w:rFonts w:asciiTheme="majorHAnsi" w:hAnsiTheme="majorHAnsi"/>
              </w:rPr>
              <w:t>Informacion mbi rrethanat në të cilat Pala mund të përditësojë vlerat e treguesve të referencës.</w:t>
            </w:r>
          </w:p>
        </w:tc>
        <w:tc>
          <w:tcPr>
            <w:tcW w:w="6115" w:type="dxa"/>
          </w:tcPr>
          <w:p w14:paraId="34C64189" w14:textId="77777777" w:rsidR="004A7844" w:rsidRPr="00213150" w:rsidRDefault="004A7844" w:rsidP="008D3AB2">
            <w:pPr>
              <w:rPr>
                <w:rFonts w:asciiTheme="majorHAnsi" w:hAnsiTheme="majorHAnsi" w:cstheme="majorHAnsi"/>
              </w:rPr>
            </w:pPr>
            <w:r>
              <w:rPr>
                <w:rFonts w:asciiTheme="majorHAnsi" w:hAnsiTheme="majorHAnsi"/>
              </w:rPr>
              <w:t>Inventari i Shqipërisë për GES-të po pëson përmirësime; ndaj, vlerat e raportuara mund të përditësohen për të pasqyruar përmirësimet metodologjike në procesin e inventarit.</w:t>
            </w:r>
          </w:p>
        </w:tc>
      </w:tr>
      <w:tr w:rsidR="004A7844" w:rsidRPr="00213150" w14:paraId="34C6418D" w14:textId="77777777" w:rsidTr="008D3AB2">
        <w:tc>
          <w:tcPr>
            <w:tcW w:w="1317" w:type="dxa"/>
          </w:tcPr>
          <w:p w14:paraId="34C6418B" w14:textId="77777777" w:rsidR="004A7844" w:rsidRPr="00213150" w:rsidRDefault="004A7844" w:rsidP="008D3AB2">
            <w:pPr>
              <w:rPr>
                <w:rFonts w:asciiTheme="majorHAnsi" w:hAnsiTheme="majorHAnsi" w:cstheme="majorHAnsi"/>
                <w:b/>
                <w:bCs/>
              </w:rPr>
            </w:pPr>
            <w:r>
              <w:rPr>
                <w:rFonts w:asciiTheme="majorHAnsi" w:hAnsiTheme="majorHAnsi"/>
                <w:b/>
                <w:bCs/>
              </w:rPr>
              <w:t>2</w:t>
            </w:r>
          </w:p>
        </w:tc>
        <w:tc>
          <w:tcPr>
            <w:tcW w:w="11633" w:type="dxa"/>
            <w:gridSpan w:val="2"/>
          </w:tcPr>
          <w:p w14:paraId="34C6418C" w14:textId="77777777" w:rsidR="004A7844" w:rsidRPr="00213150" w:rsidRDefault="004A7844" w:rsidP="008D3AB2">
            <w:pPr>
              <w:rPr>
                <w:rFonts w:asciiTheme="majorHAnsi" w:hAnsiTheme="majorHAnsi" w:cstheme="majorHAnsi"/>
                <w:b/>
                <w:bCs/>
              </w:rPr>
            </w:pPr>
            <w:r>
              <w:rPr>
                <w:rFonts w:asciiTheme="majorHAnsi" w:hAnsiTheme="majorHAnsi"/>
                <w:b/>
                <w:bCs/>
              </w:rPr>
              <w:t>Afatet kohore dhe/ose periudhat e zbatimit</w:t>
            </w:r>
          </w:p>
        </w:tc>
      </w:tr>
      <w:tr w:rsidR="004A7844" w:rsidRPr="00213150" w14:paraId="34C64191" w14:textId="77777777" w:rsidTr="008D3AB2">
        <w:tc>
          <w:tcPr>
            <w:tcW w:w="1317" w:type="dxa"/>
          </w:tcPr>
          <w:p w14:paraId="34C6418E" w14:textId="77777777" w:rsidR="004A7844" w:rsidRPr="00213150" w:rsidRDefault="004A7844" w:rsidP="008D3AB2">
            <w:pPr>
              <w:rPr>
                <w:rFonts w:asciiTheme="majorHAnsi" w:hAnsiTheme="majorHAnsi" w:cstheme="majorHAnsi"/>
              </w:rPr>
            </w:pPr>
            <w:r>
              <w:rPr>
                <w:rFonts w:asciiTheme="majorHAnsi" w:hAnsiTheme="majorHAnsi"/>
              </w:rPr>
              <w:t>2(a)</w:t>
            </w:r>
          </w:p>
        </w:tc>
        <w:tc>
          <w:tcPr>
            <w:tcW w:w="5518" w:type="dxa"/>
          </w:tcPr>
          <w:p w14:paraId="34C6418F" w14:textId="77777777" w:rsidR="004A7844" w:rsidRPr="00213150" w:rsidRDefault="004A7844" w:rsidP="008D3AB2">
            <w:pPr>
              <w:rPr>
                <w:rFonts w:asciiTheme="majorHAnsi" w:hAnsiTheme="majorHAnsi" w:cstheme="majorHAnsi"/>
              </w:rPr>
            </w:pPr>
            <w:r>
              <w:rPr>
                <w:rFonts w:asciiTheme="majorHAnsi" w:hAnsiTheme="majorHAnsi"/>
              </w:rPr>
              <w:t>Afati kohor dhe/ose periudha e zbatimit, duke përfshirë datën e fillimit dhe të përfundimit, në përputhje me çdo vendim tjetër përkatës të miratuar nga Konferenca e Palëve që shërben si takimi i Palëve në Marrëveshjen e Parisit (CMA);</w:t>
            </w:r>
          </w:p>
        </w:tc>
        <w:tc>
          <w:tcPr>
            <w:tcW w:w="6115" w:type="dxa"/>
          </w:tcPr>
          <w:p w14:paraId="34C64190" w14:textId="77777777" w:rsidR="004A7844" w:rsidRPr="00213150" w:rsidRDefault="004A7844" w:rsidP="008D3AB2">
            <w:pPr>
              <w:rPr>
                <w:rFonts w:asciiTheme="majorHAnsi" w:hAnsiTheme="majorHAnsi" w:cstheme="majorHAnsi"/>
              </w:rPr>
            </w:pPr>
            <w:r>
              <w:rPr>
                <w:rFonts w:asciiTheme="majorHAnsi" w:hAnsiTheme="majorHAnsi"/>
              </w:rPr>
              <w:t>1 janar 2025 – 31 dhjetor 2035</w:t>
            </w:r>
          </w:p>
        </w:tc>
      </w:tr>
      <w:tr w:rsidR="004A7844" w:rsidRPr="00213150" w14:paraId="34C64195" w14:textId="77777777" w:rsidTr="008D3AB2">
        <w:tc>
          <w:tcPr>
            <w:tcW w:w="1317" w:type="dxa"/>
          </w:tcPr>
          <w:p w14:paraId="34C64192" w14:textId="77777777" w:rsidR="004A7844" w:rsidRPr="00213150" w:rsidRDefault="004A7844" w:rsidP="008D3AB2">
            <w:pPr>
              <w:rPr>
                <w:rFonts w:asciiTheme="majorHAnsi" w:hAnsiTheme="majorHAnsi" w:cstheme="majorHAnsi"/>
              </w:rPr>
            </w:pPr>
            <w:r>
              <w:rPr>
                <w:rFonts w:asciiTheme="majorHAnsi" w:hAnsiTheme="majorHAnsi"/>
              </w:rPr>
              <w:t>2(b)</w:t>
            </w:r>
          </w:p>
        </w:tc>
        <w:tc>
          <w:tcPr>
            <w:tcW w:w="5518" w:type="dxa"/>
          </w:tcPr>
          <w:p w14:paraId="34C64193" w14:textId="77777777" w:rsidR="004A7844" w:rsidRPr="00213150" w:rsidRDefault="004A7844" w:rsidP="008D3AB2">
            <w:pPr>
              <w:tabs>
                <w:tab w:val="left" w:pos="1360"/>
              </w:tabs>
              <w:rPr>
                <w:rFonts w:asciiTheme="majorHAnsi" w:hAnsiTheme="majorHAnsi" w:cstheme="majorHAnsi"/>
              </w:rPr>
            </w:pPr>
            <w:r>
              <w:rPr>
                <w:rFonts w:asciiTheme="majorHAnsi" w:hAnsiTheme="majorHAnsi"/>
              </w:rPr>
              <w:t>Nëse është objektiv njëvjeçar apo shumëvjeçar, sipas rastit.</w:t>
            </w:r>
          </w:p>
        </w:tc>
        <w:tc>
          <w:tcPr>
            <w:tcW w:w="6115" w:type="dxa"/>
          </w:tcPr>
          <w:p w14:paraId="34C64194" w14:textId="77777777" w:rsidR="004A7844" w:rsidRPr="00213150" w:rsidRDefault="004A7844" w:rsidP="008D3AB2">
            <w:pPr>
              <w:rPr>
                <w:rFonts w:asciiTheme="majorHAnsi" w:hAnsiTheme="majorHAnsi" w:cstheme="majorHAnsi"/>
              </w:rPr>
            </w:pPr>
            <w:r>
              <w:rPr>
                <w:rFonts w:asciiTheme="majorHAnsi" w:hAnsiTheme="majorHAnsi"/>
              </w:rPr>
              <w:t>Objektivi njëvjeçar, 2035</w:t>
            </w:r>
          </w:p>
        </w:tc>
      </w:tr>
      <w:tr w:rsidR="004A7844" w:rsidRPr="00213150" w14:paraId="34C64198" w14:textId="77777777" w:rsidTr="008D3AB2">
        <w:tc>
          <w:tcPr>
            <w:tcW w:w="1317" w:type="dxa"/>
          </w:tcPr>
          <w:p w14:paraId="34C64196" w14:textId="77777777" w:rsidR="004A7844" w:rsidRPr="00213150" w:rsidRDefault="004A7844" w:rsidP="008D3AB2">
            <w:pPr>
              <w:rPr>
                <w:rFonts w:asciiTheme="majorHAnsi" w:hAnsiTheme="majorHAnsi" w:cstheme="majorHAnsi"/>
                <w:b/>
                <w:bCs/>
              </w:rPr>
            </w:pPr>
            <w:r>
              <w:rPr>
                <w:rFonts w:asciiTheme="majorHAnsi" w:hAnsiTheme="majorHAnsi"/>
                <w:b/>
                <w:bCs/>
              </w:rPr>
              <w:t>3</w:t>
            </w:r>
          </w:p>
        </w:tc>
        <w:tc>
          <w:tcPr>
            <w:tcW w:w="11633" w:type="dxa"/>
            <w:gridSpan w:val="2"/>
          </w:tcPr>
          <w:p w14:paraId="34C64197" w14:textId="77777777" w:rsidR="004A7844" w:rsidRPr="00213150" w:rsidRDefault="004A7844" w:rsidP="008D3AB2">
            <w:pPr>
              <w:rPr>
                <w:rFonts w:asciiTheme="majorHAnsi" w:hAnsiTheme="majorHAnsi" w:cstheme="majorHAnsi"/>
                <w:b/>
                <w:bCs/>
              </w:rPr>
            </w:pPr>
            <w:r>
              <w:rPr>
                <w:rFonts w:asciiTheme="majorHAnsi" w:hAnsiTheme="majorHAnsi"/>
                <w:b/>
                <w:bCs/>
              </w:rPr>
              <w:t>Objekti dhe mbulimi</w:t>
            </w:r>
          </w:p>
        </w:tc>
      </w:tr>
      <w:tr w:rsidR="004A7844" w:rsidRPr="00213150" w14:paraId="34C6419C" w14:textId="77777777" w:rsidTr="008D3AB2">
        <w:tc>
          <w:tcPr>
            <w:tcW w:w="1317" w:type="dxa"/>
          </w:tcPr>
          <w:p w14:paraId="34C64199" w14:textId="77777777" w:rsidR="004A7844" w:rsidRPr="00213150" w:rsidRDefault="004A7844" w:rsidP="008D3AB2">
            <w:pPr>
              <w:rPr>
                <w:rFonts w:asciiTheme="majorHAnsi" w:hAnsiTheme="majorHAnsi" w:cstheme="majorHAnsi"/>
              </w:rPr>
            </w:pPr>
            <w:r>
              <w:rPr>
                <w:rFonts w:asciiTheme="majorHAnsi" w:hAnsiTheme="majorHAnsi"/>
              </w:rPr>
              <w:t>3(a)</w:t>
            </w:r>
          </w:p>
        </w:tc>
        <w:tc>
          <w:tcPr>
            <w:tcW w:w="5518" w:type="dxa"/>
          </w:tcPr>
          <w:p w14:paraId="34C6419A" w14:textId="77777777" w:rsidR="004A7844" w:rsidRPr="00213150" w:rsidRDefault="004A7844" w:rsidP="008D3AB2">
            <w:pPr>
              <w:rPr>
                <w:rFonts w:asciiTheme="majorHAnsi" w:hAnsiTheme="majorHAnsi" w:cstheme="majorHAnsi"/>
              </w:rPr>
            </w:pPr>
            <w:r>
              <w:rPr>
                <w:rFonts w:asciiTheme="majorHAnsi" w:hAnsiTheme="majorHAnsi"/>
              </w:rPr>
              <w:t>Përshkrimi i përgjithshëm i objektivit;</w:t>
            </w:r>
          </w:p>
        </w:tc>
        <w:tc>
          <w:tcPr>
            <w:tcW w:w="6115" w:type="dxa"/>
          </w:tcPr>
          <w:p w14:paraId="34C6419B" w14:textId="77777777" w:rsidR="004A7844" w:rsidRPr="00213150" w:rsidRDefault="004A7844" w:rsidP="008D3AB2">
            <w:pPr>
              <w:rPr>
                <w:rFonts w:asciiTheme="majorHAnsi" w:hAnsiTheme="majorHAnsi" w:cstheme="majorHAnsi"/>
              </w:rPr>
            </w:pPr>
            <w:bookmarkStart w:id="69" w:name="_Hlk204875700"/>
            <w:r>
              <w:rPr>
                <w:rFonts w:asciiTheme="majorHAnsi" w:hAnsiTheme="majorHAnsi"/>
              </w:rPr>
              <w:t xml:space="preserve">Shqipëria synon t'i mbajë shkarkimet neto të gazeve me efekt serrë (GES) nën 9195 ktCO₂eq brenda vitit 2035. Ky objektiv bazohet në skenarin "me masa shtesë" (WAM) të parashikuar në Planin Kombëtar për Energjinë dhe Klimën (PKEK) 2025 të Shqipërisë. Ai pasqyron një kufizim të rritjes së shkarkimeve me 17,4% mbi nivelet e vitit 1990, periudhë kur shkarkimet e GES-ve ishin 7834,07 ktCO₂eq. Objektivi shtrihet në mbarë ekonominë dhe mbulon të gjitha shkarkimet e GES-ve në nivel kombëtar, </w:t>
            </w:r>
            <w:r>
              <w:rPr>
                <w:rFonts w:asciiTheme="majorHAnsi" w:hAnsiTheme="majorHAnsi"/>
              </w:rPr>
              <w:lastRenderedPageBreak/>
              <w:t>dhe synohet të arrihet pa u mbështetur te kontributet nga kreditet ndërkombëtare.</w:t>
            </w:r>
            <w:bookmarkEnd w:id="69"/>
          </w:p>
        </w:tc>
      </w:tr>
      <w:tr w:rsidR="004A7844" w:rsidRPr="00213150" w14:paraId="34C641B0" w14:textId="77777777" w:rsidTr="008D3AB2">
        <w:tc>
          <w:tcPr>
            <w:tcW w:w="1317" w:type="dxa"/>
          </w:tcPr>
          <w:p w14:paraId="34C6419D" w14:textId="77777777" w:rsidR="004A7844" w:rsidRPr="00213150" w:rsidRDefault="004A7844" w:rsidP="008D3AB2">
            <w:pPr>
              <w:rPr>
                <w:rFonts w:asciiTheme="majorHAnsi" w:hAnsiTheme="majorHAnsi" w:cstheme="majorHAnsi"/>
              </w:rPr>
            </w:pPr>
            <w:r>
              <w:rPr>
                <w:rFonts w:asciiTheme="majorHAnsi" w:hAnsiTheme="majorHAnsi"/>
              </w:rPr>
              <w:lastRenderedPageBreak/>
              <w:t>3(b)</w:t>
            </w:r>
          </w:p>
        </w:tc>
        <w:tc>
          <w:tcPr>
            <w:tcW w:w="5518" w:type="dxa"/>
          </w:tcPr>
          <w:p w14:paraId="34C6419E" w14:textId="77777777" w:rsidR="004A7844" w:rsidRPr="00213150" w:rsidRDefault="004A7844" w:rsidP="008D3AB2">
            <w:pPr>
              <w:rPr>
                <w:rFonts w:asciiTheme="majorHAnsi" w:hAnsiTheme="majorHAnsi" w:cstheme="majorHAnsi"/>
              </w:rPr>
            </w:pPr>
            <w:r>
              <w:rPr>
                <w:rFonts w:asciiTheme="majorHAnsi" w:hAnsiTheme="majorHAnsi"/>
              </w:rPr>
              <w:t>Sektorët, gazet, kategoritë dhe rezervat janë të mbuluara nga Kontributi Kombëtar i Përcaktuar, duke përfshirë, sipas rastit, pajtueshmërinë me udhëzimet e Panelit Ndërqeveritar për Ndryshimet Klimatike (PNNK);</w:t>
            </w:r>
          </w:p>
        </w:tc>
        <w:tc>
          <w:tcPr>
            <w:tcW w:w="6115" w:type="dxa"/>
          </w:tcPr>
          <w:p w14:paraId="34C641A0" w14:textId="349635DF" w:rsidR="004A7844" w:rsidRPr="00213150" w:rsidRDefault="004A7844" w:rsidP="008D3AB2">
            <w:pPr>
              <w:rPr>
                <w:rFonts w:asciiTheme="majorHAnsi" w:hAnsiTheme="majorHAnsi" w:cstheme="majorHAnsi"/>
              </w:rPr>
            </w:pPr>
            <w:r>
              <w:rPr>
                <w:rFonts w:asciiTheme="majorHAnsi" w:hAnsiTheme="majorHAnsi"/>
              </w:rPr>
              <w:t>Detajet e mëtejshme do të sigurohen sipas udhëzimeve të PNNK-së në Raportet Dyvjeçare të Transparencës së Shqipërisë.</w:t>
            </w:r>
            <w:r>
              <w:rPr>
                <w:rFonts w:asciiTheme="majorHAnsi" w:hAnsiTheme="majorHAnsi"/>
              </w:rPr>
              <w:br/>
            </w:r>
          </w:p>
          <w:p w14:paraId="34C641A1" w14:textId="77777777" w:rsidR="004A7844" w:rsidRPr="00213150" w:rsidRDefault="004A7844" w:rsidP="00AC440C">
            <w:pPr>
              <w:spacing w:before="0"/>
              <w:rPr>
                <w:rFonts w:asciiTheme="majorHAnsi" w:hAnsiTheme="majorHAnsi" w:cstheme="majorHAnsi"/>
                <w:b/>
                <w:bCs/>
              </w:rPr>
            </w:pPr>
            <w:r>
              <w:rPr>
                <w:rFonts w:asciiTheme="majorHAnsi" w:hAnsiTheme="majorHAnsi"/>
                <w:b/>
                <w:bCs/>
              </w:rPr>
              <w:t>Sektorët e mbuluar:</w:t>
            </w:r>
          </w:p>
          <w:p w14:paraId="34C641A2" w14:textId="071AE077" w:rsidR="004A7844" w:rsidRPr="00AC440C" w:rsidRDefault="004A7844" w:rsidP="00AC440C">
            <w:pPr>
              <w:pStyle w:val="ListParagraph"/>
              <w:numPr>
                <w:ilvl w:val="0"/>
                <w:numId w:val="29"/>
              </w:numPr>
              <w:spacing w:before="0"/>
              <w:jc w:val="left"/>
              <w:rPr>
                <w:rFonts w:asciiTheme="majorHAnsi" w:hAnsiTheme="majorHAnsi" w:cstheme="majorHAnsi"/>
              </w:rPr>
            </w:pPr>
            <w:r>
              <w:rPr>
                <w:rFonts w:asciiTheme="majorHAnsi" w:hAnsiTheme="majorHAnsi"/>
              </w:rPr>
              <w:t xml:space="preserve">Energjia (me përjashtim të transportit ndërkombëtar) </w:t>
            </w:r>
          </w:p>
          <w:p w14:paraId="34C641A3" w14:textId="01DAAEF9" w:rsidR="004A7844" w:rsidRPr="00AC440C" w:rsidRDefault="004A7844" w:rsidP="00AC440C">
            <w:pPr>
              <w:pStyle w:val="ListParagraph"/>
              <w:numPr>
                <w:ilvl w:val="0"/>
                <w:numId w:val="29"/>
              </w:numPr>
              <w:jc w:val="left"/>
              <w:rPr>
                <w:rFonts w:asciiTheme="majorHAnsi" w:hAnsiTheme="majorHAnsi" w:cstheme="majorHAnsi"/>
              </w:rPr>
            </w:pPr>
            <w:r>
              <w:rPr>
                <w:rFonts w:asciiTheme="majorHAnsi" w:hAnsiTheme="majorHAnsi"/>
              </w:rPr>
              <w:t>Proceset industriale dhe përdorimi i produkteve (PIPP)</w:t>
            </w:r>
          </w:p>
          <w:p w14:paraId="34C641A4" w14:textId="5992569F" w:rsidR="004A7844" w:rsidRPr="00AC440C" w:rsidRDefault="004A7844" w:rsidP="00AC440C">
            <w:pPr>
              <w:pStyle w:val="ListParagraph"/>
              <w:numPr>
                <w:ilvl w:val="0"/>
                <w:numId w:val="29"/>
              </w:numPr>
              <w:jc w:val="left"/>
              <w:rPr>
                <w:rFonts w:asciiTheme="majorHAnsi" w:hAnsiTheme="majorHAnsi" w:cstheme="majorHAnsi"/>
              </w:rPr>
            </w:pPr>
            <w:r>
              <w:rPr>
                <w:rFonts w:asciiTheme="majorHAnsi" w:hAnsiTheme="majorHAnsi"/>
              </w:rPr>
              <w:t>Bujqësia</w:t>
            </w:r>
          </w:p>
          <w:p w14:paraId="34C641A5" w14:textId="10163C20" w:rsidR="004A7844" w:rsidRPr="00AC440C" w:rsidRDefault="004A7844" w:rsidP="00AC440C">
            <w:pPr>
              <w:pStyle w:val="ListParagraph"/>
              <w:numPr>
                <w:ilvl w:val="0"/>
                <w:numId w:val="29"/>
              </w:numPr>
              <w:jc w:val="left"/>
              <w:rPr>
                <w:rFonts w:asciiTheme="majorHAnsi" w:hAnsiTheme="majorHAnsi" w:cstheme="majorHAnsi"/>
              </w:rPr>
            </w:pPr>
            <w:r>
              <w:rPr>
                <w:rFonts w:asciiTheme="majorHAnsi" w:hAnsiTheme="majorHAnsi"/>
              </w:rPr>
              <w:t>Mbetjet</w:t>
            </w:r>
          </w:p>
          <w:p w14:paraId="34C641A6" w14:textId="04198AF5" w:rsidR="004A7844" w:rsidRPr="00AC440C" w:rsidRDefault="004A7844" w:rsidP="00AC440C">
            <w:pPr>
              <w:pStyle w:val="ListParagraph"/>
              <w:numPr>
                <w:ilvl w:val="0"/>
                <w:numId w:val="29"/>
              </w:numPr>
              <w:jc w:val="left"/>
              <w:rPr>
                <w:rFonts w:asciiTheme="majorHAnsi" w:hAnsiTheme="majorHAnsi" w:cstheme="majorHAnsi"/>
              </w:rPr>
            </w:pPr>
            <w:r>
              <w:rPr>
                <w:rFonts w:asciiTheme="majorHAnsi" w:hAnsiTheme="majorHAnsi"/>
              </w:rPr>
              <w:t>Përdorimi i tokës, ndryshimi i përdorimit të tokës dhe pyjet (PTNPTP) (shihni paragrafin 5e për informacion të mëtejshëm mbi këtë sektor).</w:t>
            </w:r>
          </w:p>
          <w:p w14:paraId="34C641A7" w14:textId="77777777" w:rsidR="004A7844" w:rsidRPr="00213150" w:rsidRDefault="004A7844" w:rsidP="00AC440C">
            <w:pPr>
              <w:spacing w:before="0"/>
              <w:rPr>
                <w:rFonts w:asciiTheme="majorHAnsi" w:hAnsiTheme="majorHAnsi" w:cstheme="majorHAnsi"/>
                <w:b/>
                <w:bCs/>
              </w:rPr>
            </w:pPr>
            <w:r>
              <w:rPr>
                <w:rFonts w:asciiTheme="majorHAnsi" w:hAnsiTheme="majorHAnsi"/>
                <w:b/>
                <w:bCs/>
              </w:rPr>
              <w:t>Gazet:</w:t>
            </w:r>
          </w:p>
          <w:p w14:paraId="34C641A8" w14:textId="74B540BC" w:rsidR="004A7844" w:rsidRPr="00AC440C" w:rsidRDefault="004A7844" w:rsidP="00AC440C">
            <w:pPr>
              <w:pStyle w:val="ListParagraph"/>
              <w:numPr>
                <w:ilvl w:val="0"/>
                <w:numId w:val="29"/>
              </w:numPr>
              <w:spacing w:before="0"/>
              <w:rPr>
                <w:rFonts w:asciiTheme="majorHAnsi" w:hAnsiTheme="majorHAnsi" w:cstheme="majorHAnsi"/>
              </w:rPr>
            </w:pPr>
            <w:r>
              <w:rPr>
                <w:rFonts w:asciiTheme="majorHAnsi" w:hAnsiTheme="majorHAnsi"/>
              </w:rPr>
              <w:t>Dyoksidi i karbonit (CO</w:t>
            </w:r>
            <w:r>
              <w:rPr>
                <w:rFonts w:asciiTheme="majorHAnsi" w:hAnsiTheme="majorHAnsi"/>
                <w:vertAlign w:val="subscript"/>
              </w:rPr>
              <w:t>2</w:t>
            </w:r>
            <w:r>
              <w:rPr>
                <w:rFonts w:asciiTheme="majorHAnsi" w:hAnsiTheme="majorHAnsi"/>
              </w:rPr>
              <w:t>)</w:t>
            </w:r>
          </w:p>
          <w:p w14:paraId="34C641A9" w14:textId="3A2FD55B" w:rsidR="004A7844" w:rsidRPr="00AC440C" w:rsidRDefault="004A7844" w:rsidP="00AC440C">
            <w:pPr>
              <w:pStyle w:val="ListParagraph"/>
              <w:numPr>
                <w:ilvl w:val="0"/>
                <w:numId w:val="29"/>
              </w:numPr>
              <w:spacing w:before="0"/>
              <w:rPr>
                <w:rFonts w:asciiTheme="majorHAnsi" w:hAnsiTheme="majorHAnsi" w:cstheme="majorHAnsi"/>
              </w:rPr>
            </w:pPr>
            <w:r>
              <w:rPr>
                <w:rFonts w:asciiTheme="majorHAnsi" w:hAnsiTheme="majorHAnsi"/>
              </w:rPr>
              <w:t>Metani (CH</w:t>
            </w:r>
            <w:r>
              <w:rPr>
                <w:rFonts w:asciiTheme="majorHAnsi" w:hAnsiTheme="majorHAnsi"/>
                <w:vertAlign w:val="subscript"/>
              </w:rPr>
              <w:t>4</w:t>
            </w:r>
            <w:r>
              <w:rPr>
                <w:rFonts w:asciiTheme="majorHAnsi" w:hAnsiTheme="majorHAnsi"/>
              </w:rPr>
              <w:t>)</w:t>
            </w:r>
          </w:p>
          <w:p w14:paraId="34C641AA" w14:textId="4396003F" w:rsidR="004A7844" w:rsidRPr="00AC440C" w:rsidRDefault="004A7844" w:rsidP="00AC440C">
            <w:pPr>
              <w:pStyle w:val="ListParagraph"/>
              <w:numPr>
                <w:ilvl w:val="0"/>
                <w:numId w:val="29"/>
              </w:numPr>
              <w:rPr>
                <w:rFonts w:asciiTheme="majorHAnsi" w:hAnsiTheme="majorHAnsi" w:cstheme="majorHAnsi"/>
              </w:rPr>
            </w:pPr>
            <w:r>
              <w:rPr>
                <w:rFonts w:asciiTheme="majorHAnsi" w:hAnsiTheme="majorHAnsi"/>
              </w:rPr>
              <w:t>Oksidi i azotit (N</w:t>
            </w:r>
            <w:r>
              <w:rPr>
                <w:rFonts w:asciiTheme="majorHAnsi" w:hAnsiTheme="majorHAnsi"/>
                <w:vertAlign w:val="subscript"/>
              </w:rPr>
              <w:t>2</w:t>
            </w:r>
            <w:r>
              <w:rPr>
                <w:rFonts w:asciiTheme="majorHAnsi" w:hAnsiTheme="majorHAnsi"/>
              </w:rPr>
              <w:t>O)</w:t>
            </w:r>
          </w:p>
          <w:p w14:paraId="34C641AB" w14:textId="3A61B9C6" w:rsidR="004A7844" w:rsidRPr="00AC440C" w:rsidRDefault="004A7844" w:rsidP="00AC440C">
            <w:pPr>
              <w:pStyle w:val="ListParagraph"/>
              <w:numPr>
                <w:ilvl w:val="0"/>
                <w:numId w:val="29"/>
              </w:numPr>
              <w:rPr>
                <w:rFonts w:asciiTheme="majorHAnsi" w:hAnsiTheme="majorHAnsi" w:cstheme="majorHAnsi"/>
              </w:rPr>
            </w:pPr>
            <w:r>
              <w:rPr>
                <w:rFonts w:asciiTheme="majorHAnsi" w:hAnsiTheme="majorHAnsi"/>
              </w:rPr>
              <w:t>HFC-të</w:t>
            </w:r>
          </w:p>
          <w:p w14:paraId="34C641AC" w14:textId="0AFC3BCD" w:rsidR="004A7844" w:rsidRPr="00AC440C" w:rsidRDefault="00387652" w:rsidP="00AC440C">
            <w:pPr>
              <w:pStyle w:val="ListParagraph"/>
              <w:numPr>
                <w:ilvl w:val="0"/>
                <w:numId w:val="29"/>
              </w:numPr>
              <w:rPr>
                <w:rFonts w:asciiTheme="majorHAnsi" w:hAnsiTheme="majorHAnsi" w:cstheme="majorHAnsi"/>
              </w:rPr>
            </w:pPr>
            <w:r>
              <w:rPr>
                <w:rFonts w:asciiTheme="majorHAnsi" w:hAnsiTheme="majorHAnsi"/>
              </w:rPr>
              <w:t>PFC-të, SF</w:t>
            </w:r>
            <w:r>
              <w:rPr>
                <w:rFonts w:asciiTheme="majorHAnsi" w:hAnsiTheme="majorHAnsi"/>
                <w:vertAlign w:val="subscript"/>
              </w:rPr>
              <w:t>6</w:t>
            </w:r>
            <w:r>
              <w:rPr>
                <w:rFonts w:asciiTheme="majorHAnsi" w:hAnsiTheme="majorHAnsi"/>
              </w:rPr>
              <w:t xml:space="preserve"> dhe NF</w:t>
            </w:r>
            <w:r>
              <w:rPr>
                <w:rFonts w:asciiTheme="majorHAnsi" w:hAnsiTheme="majorHAnsi"/>
                <w:vertAlign w:val="subscript"/>
              </w:rPr>
              <w:t>3</w:t>
            </w:r>
            <w:r>
              <w:rPr>
                <w:rFonts w:asciiTheme="majorHAnsi" w:hAnsiTheme="majorHAnsi"/>
              </w:rPr>
              <w:t xml:space="preserve"> nuk mbulohen pasi konsiderohen të papërfillshme.</w:t>
            </w:r>
          </w:p>
          <w:p w14:paraId="34C641AD" w14:textId="77777777" w:rsidR="004A7844" w:rsidRPr="00213150" w:rsidRDefault="00387652" w:rsidP="008D3AB2">
            <w:pPr>
              <w:rPr>
                <w:rFonts w:asciiTheme="majorHAnsi" w:hAnsiTheme="majorHAnsi" w:cstheme="majorHAnsi"/>
              </w:rPr>
            </w:pPr>
            <w:r>
              <w:rPr>
                <w:rFonts w:asciiTheme="majorHAnsi" w:hAnsiTheme="majorHAnsi"/>
              </w:rPr>
              <w:t>Përfshirja e perfluorokarbonëve (PFC-ve), hekzafluorit të squfurit (SF</w:t>
            </w:r>
            <w:r>
              <w:rPr>
                <w:rFonts w:asciiTheme="majorHAnsi" w:hAnsiTheme="majorHAnsi"/>
                <w:vertAlign w:val="subscript"/>
              </w:rPr>
              <w:t>6</w:t>
            </w:r>
            <w:r>
              <w:rPr>
                <w:rFonts w:asciiTheme="majorHAnsi" w:hAnsiTheme="majorHAnsi"/>
              </w:rPr>
              <w:t>) dhe trifluorit të azotit (NF</w:t>
            </w:r>
            <w:r>
              <w:rPr>
                <w:rFonts w:asciiTheme="majorHAnsi" w:hAnsiTheme="majorHAnsi"/>
                <w:vertAlign w:val="subscript"/>
              </w:rPr>
              <w:t>3</w:t>
            </w:r>
            <w:r>
              <w:rPr>
                <w:rFonts w:asciiTheme="majorHAnsi" w:hAnsiTheme="majorHAnsi"/>
              </w:rPr>
              <w:t>) do t’i shtohet mbulimit të KKP-së pasi të përfshihen në inventarin e GES-ve të Shqipërisë.</w:t>
            </w:r>
          </w:p>
          <w:p w14:paraId="34C641AE" w14:textId="77777777" w:rsidR="004A7844" w:rsidRPr="00213150" w:rsidRDefault="004A7844" w:rsidP="008D3AB2">
            <w:pPr>
              <w:rPr>
                <w:rFonts w:asciiTheme="majorHAnsi" w:hAnsiTheme="majorHAnsi" w:cstheme="majorHAnsi"/>
                <w:b/>
                <w:bCs/>
              </w:rPr>
            </w:pPr>
            <w:r>
              <w:rPr>
                <w:rFonts w:asciiTheme="majorHAnsi" w:hAnsiTheme="majorHAnsi"/>
                <w:b/>
                <w:bCs/>
              </w:rPr>
              <w:t>Mbulimi gjeografik:</w:t>
            </w:r>
          </w:p>
          <w:p w14:paraId="34C641AF" w14:textId="77777777" w:rsidR="004A7844" w:rsidRPr="00213150" w:rsidRDefault="004A7844" w:rsidP="008D3AB2">
            <w:pPr>
              <w:rPr>
                <w:rFonts w:asciiTheme="majorHAnsi" w:hAnsiTheme="majorHAnsi" w:cstheme="majorHAnsi"/>
              </w:rPr>
            </w:pPr>
            <w:r>
              <w:rPr>
                <w:rFonts w:asciiTheme="majorHAnsi" w:hAnsiTheme="majorHAnsi"/>
              </w:rPr>
              <w:t>I gjithë territori i vendit</w:t>
            </w:r>
          </w:p>
        </w:tc>
      </w:tr>
      <w:tr w:rsidR="004A7844" w:rsidRPr="00213150" w14:paraId="34C641B4" w14:textId="77777777" w:rsidTr="008D3AB2">
        <w:tc>
          <w:tcPr>
            <w:tcW w:w="1317" w:type="dxa"/>
          </w:tcPr>
          <w:p w14:paraId="34C641B1" w14:textId="77777777" w:rsidR="004A7844" w:rsidRPr="00213150" w:rsidRDefault="004A7844" w:rsidP="008D3AB2">
            <w:pPr>
              <w:rPr>
                <w:rFonts w:asciiTheme="majorHAnsi" w:hAnsiTheme="majorHAnsi" w:cstheme="majorHAnsi"/>
              </w:rPr>
            </w:pPr>
            <w:r>
              <w:rPr>
                <w:rFonts w:asciiTheme="majorHAnsi" w:hAnsiTheme="majorHAnsi"/>
              </w:rPr>
              <w:t>3(c)</w:t>
            </w:r>
          </w:p>
        </w:tc>
        <w:tc>
          <w:tcPr>
            <w:tcW w:w="5518" w:type="dxa"/>
          </w:tcPr>
          <w:p w14:paraId="34C641B2" w14:textId="77777777" w:rsidR="004A7844" w:rsidRPr="00213150" w:rsidRDefault="004A7844" w:rsidP="008D3AB2">
            <w:pPr>
              <w:rPr>
                <w:rFonts w:asciiTheme="majorHAnsi" w:hAnsiTheme="majorHAnsi" w:cstheme="majorHAnsi"/>
              </w:rPr>
            </w:pPr>
            <w:r>
              <w:rPr>
                <w:rFonts w:asciiTheme="majorHAnsi" w:hAnsiTheme="majorHAnsi"/>
              </w:rPr>
              <w:t>Mënyra se si Pala i ka marrë në konsideratë paragrafët 31, germat "c" dhe "d" të vendimit 1/CP.21;</w:t>
            </w:r>
          </w:p>
        </w:tc>
        <w:tc>
          <w:tcPr>
            <w:tcW w:w="6115" w:type="dxa"/>
          </w:tcPr>
          <w:p w14:paraId="34C641B3" w14:textId="77777777" w:rsidR="004A7844" w:rsidRPr="00213150" w:rsidRDefault="004A7844" w:rsidP="008D3AB2">
            <w:pPr>
              <w:rPr>
                <w:rFonts w:asciiTheme="majorHAnsi" w:hAnsiTheme="majorHAnsi" w:cstheme="majorHAnsi"/>
              </w:rPr>
            </w:pPr>
            <w:r>
              <w:rPr>
                <w:rFonts w:asciiTheme="majorHAnsi" w:hAnsiTheme="majorHAnsi"/>
              </w:rPr>
              <w:t xml:space="preserve">KKP-ja e Shqipërisë përfshin mbarë ekonominë dhe rrjedhimisht është përafruar me këtë dispozitë. Janë përfshirë të gjitha kategoritë e burimeve dhe përthithësve, në bazë të inventarit më të fundit kombëtar të GES-ve. Janë </w:t>
            </w:r>
            <w:r>
              <w:rPr>
                <w:rFonts w:asciiTheme="majorHAnsi" w:hAnsiTheme="majorHAnsi"/>
              </w:rPr>
              <w:lastRenderedPageBreak/>
              <w:t>vendosur shënime kyçe sipas Udhëzimeve të PNNK-së të vitit 2006 (Vëllimi 1), si dhe me paragrafët 31 dhe 32 të Vendimit 18/KTM.1 mbi modalitetet, procedurat dhe udhëzimet për kuadrin e transparencës për veprimin dhe mbështetjen sipas nenit 13 të Marrëveshjes së Parisit.</w:t>
            </w:r>
          </w:p>
        </w:tc>
      </w:tr>
      <w:tr w:rsidR="004A7844" w:rsidRPr="00213150" w14:paraId="34C641B9" w14:textId="77777777" w:rsidTr="008D3AB2">
        <w:tc>
          <w:tcPr>
            <w:tcW w:w="1317" w:type="dxa"/>
          </w:tcPr>
          <w:p w14:paraId="34C641B5" w14:textId="77777777" w:rsidR="004A7844" w:rsidRPr="00213150" w:rsidRDefault="004A7844" w:rsidP="008D3AB2">
            <w:pPr>
              <w:rPr>
                <w:rFonts w:asciiTheme="majorHAnsi" w:hAnsiTheme="majorHAnsi" w:cstheme="majorHAnsi"/>
              </w:rPr>
            </w:pPr>
            <w:r>
              <w:rPr>
                <w:rFonts w:asciiTheme="majorHAnsi" w:hAnsiTheme="majorHAnsi"/>
              </w:rPr>
              <w:lastRenderedPageBreak/>
              <w:t>3(d)</w:t>
            </w:r>
          </w:p>
        </w:tc>
        <w:tc>
          <w:tcPr>
            <w:tcW w:w="5518" w:type="dxa"/>
          </w:tcPr>
          <w:p w14:paraId="34C641B6" w14:textId="77777777" w:rsidR="004A7844" w:rsidRPr="00213150" w:rsidRDefault="004A7844" w:rsidP="008D3AB2">
            <w:pPr>
              <w:rPr>
                <w:rFonts w:asciiTheme="majorHAnsi" w:hAnsiTheme="majorHAnsi" w:cstheme="majorHAnsi"/>
              </w:rPr>
            </w:pPr>
            <w:r>
              <w:rPr>
                <w:rFonts w:asciiTheme="majorHAnsi" w:hAnsiTheme="majorHAnsi"/>
              </w:rPr>
              <w:t>Përfitimet e përbashkëta prej zbutjes që rezultojnë nga veprimet e Palëve për përshtatjen dhe/ose planet e diversifikimit ekonomik, duke përfshirë përshkrimin e projekteve specifike, masave dhe iniciativave të masave të përshtatjes të Palëve dhe/ose planet e diversifikimit ekonomik.</w:t>
            </w:r>
          </w:p>
        </w:tc>
        <w:tc>
          <w:tcPr>
            <w:tcW w:w="6115" w:type="dxa"/>
          </w:tcPr>
          <w:p w14:paraId="34C641B7" w14:textId="77777777" w:rsidR="004A7844" w:rsidRPr="009E7331" w:rsidRDefault="004A7844" w:rsidP="008D3AB2">
            <w:pPr>
              <w:rPr>
                <w:rFonts w:asciiTheme="majorHAnsi" w:hAnsiTheme="majorHAnsi" w:cstheme="majorHAnsi"/>
              </w:rPr>
            </w:pPr>
            <w:r>
              <w:rPr>
                <w:rFonts w:asciiTheme="majorHAnsi" w:hAnsiTheme="majorHAnsi"/>
              </w:rPr>
              <w:t>Nuk zbatohet</w:t>
            </w:r>
          </w:p>
          <w:p w14:paraId="34C641B8" w14:textId="77777777" w:rsidR="004A7844" w:rsidRPr="00213150" w:rsidRDefault="004A7844" w:rsidP="008D3AB2">
            <w:pPr>
              <w:rPr>
                <w:rFonts w:asciiTheme="majorHAnsi" w:hAnsiTheme="majorHAnsi" w:cstheme="majorHAnsi"/>
              </w:rPr>
            </w:pPr>
            <w:r>
              <w:rPr>
                <w:rFonts w:asciiTheme="majorHAnsi" w:hAnsiTheme="majorHAnsi"/>
              </w:rPr>
              <w:t>Përfitimet e përbashkëta të zbutjes që rezultojnë nga veprimet e Shqipërisë për përshtatjen nuk po gjurmohen aktualisht, pasi nuk ka një metodologji të përcaktuar, pavarësisht rëndësisë dhe potencialit të tyre të lartë. Përshtatja mbetet një prioritet kombëtar për shkak të cenueshmërisë së Shqipërisë ndaj ndryshimeve klimatike, dhe shumë veprime, sidomos në fushat e pylltarisë, mbrojtjes së burimeve ujore, bujqësisë së qëndrueshme dhe diversifikimit të energjisë, janë harmonizuar me objektivat e zbutjes dhe kontribuojnë në reduktimin e shkarkimeve në sektorët e PPTT-së dhe energjisë.</w:t>
            </w:r>
          </w:p>
        </w:tc>
      </w:tr>
      <w:tr w:rsidR="004A7844" w:rsidRPr="00213150" w14:paraId="34C641BC" w14:textId="77777777" w:rsidTr="008D3AB2">
        <w:tc>
          <w:tcPr>
            <w:tcW w:w="1317" w:type="dxa"/>
          </w:tcPr>
          <w:p w14:paraId="34C641BA" w14:textId="77777777" w:rsidR="004A7844" w:rsidRPr="00213150" w:rsidRDefault="004A7844" w:rsidP="008D3AB2">
            <w:pPr>
              <w:rPr>
                <w:rFonts w:asciiTheme="majorHAnsi" w:hAnsiTheme="majorHAnsi" w:cstheme="majorHAnsi"/>
                <w:b/>
                <w:bCs/>
              </w:rPr>
            </w:pPr>
            <w:r>
              <w:rPr>
                <w:rFonts w:asciiTheme="majorHAnsi" w:hAnsiTheme="majorHAnsi"/>
                <w:b/>
                <w:bCs/>
              </w:rPr>
              <w:t>4</w:t>
            </w:r>
          </w:p>
        </w:tc>
        <w:tc>
          <w:tcPr>
            <w:tcW w:w="11633" w:type="dxa"/>
            <w:gridSpan w:val="2"/>
          </w:tcPr>
          <w:p w14:paraId="34C641BB" w14:textId="77777777" w:rsidR="004A7844" w:rsidRPr="00213150" w:rsidRDefault="004A7844" w:rsidP="008D3AB2">
            <w:pPr>
              <w:rPr>
                <w:rFonts w:asciiTheme="majorHAnsi" w:hAnsiTheme="majorHAnsi" w:cstheme="majorHAnsi"/>
                <w:b/>
                <w:bCs/>
              </w:rPr>
            </w:pPr>
            <w:r>
              <w:rPr>
                <w:rFonts w:asciiTheme="majorHAnsi" w:hAnsiTheme="majorHAnsi"/>
                <w:b/>
                <w:bCs/>
              </w:rPr>
              <w:t>Proceset e planifikimit</w:t>
            </w:r>
          </w:p>
        </w:tc>
      </w:tr>
      <w:tr w:rsidR="004A7844" w:rsidRPr="00213150" w14:paraId="34C641C0" w14:textId="77777777" w:rsidTr="008D3AB2">
        <w:tc>
          <w:tcPr>
            <w:tcW w:w="1317" w:type="dxa"/>
          </w:tcPr>
          <w:p w14:paraId="34C641BD" w14:textId="77777777" w:rsidR="004A7844" w:rsidRPr="00213150" w:rsidRDefault="004A7844" w:rsidP="008D3AB2">
            <w:pPr>
              <w:rPr>
                <w:rFonts w:asciiTheme="majorHAnsi" w:hAnsiTheme="majorHAnsi" w:cstheme="majorHAnsi"/>
              </w:rPr>
            </w:pPr>
            <w:r>
              <w:rPr>
                <w:rFonts w:asciiTheme="majorHAnsi" w:hAnsiTheme="majorHAnsi"/>
              </w:rPr>
              <w:t>4(a)</w:t>
            </w:r>
          </w:p>
        </w:tc>
        <w:tc>
          <w:tcPr>
            <w:tcW w:w="5518" w:type="dxa"/>
          </w:tcPr>
          <w:p w14:paraId="34C641BE" w14:textId="77777777" w:rsidR="004A7844" w:rsidRPr="00213150" w:rsidRDefault="004A7844" w:rsidP="008D3AB2">
            <w:pPr>
              <w:rPr>
                <w:rFonts w:asciiTheme="majorHAnsi" w:hAnsiTheme="majorHAnsi" w:cstheme="majorHAnsi"/>
              </w:rPr>
            </w:pPr>
            <w:r>
              <w:rPr>
                <w:rFonts w:asciiTheme="majorHAnsi" w:hAnsiTheme="majorHAnsi"/>
              </w:rPr>
              <w:t>Informacion lidhur me proceset e planifikimit që ka ndërmarrë Pala për të përgatitur kontributin e saj kombëtar të përcaktuar dhe, nëse është e mundur, informacion lidhur me planet e zbatimit të Palës, duke përfshirë, sipas rastit:</w:t>
            </w:r>
          </w:p>
        </w:tc>
        <w:tc>
          <w:tcPr>
            <w:tcW w:w="6115" w:type="dxa"/>
          </w:tcPr>
          <w:p w14:paraId="34C641BF" w14:textId="77777777" w:rsidR="004A7844" w:rsidRPr="00213150" w:rsidRDefault="004A7844" w:rsidP="008D3AB2">
            <w:pPr>
              <w:rPr>
                <w:rFonts w:asciiTheme="majorHAnsi" w:hAnsiTheme="majorHAnsi" w:cstheme="majorHAnsi"/>
              </w:rPr>
            </w:pPr>
          </w:p>
        </w:tc>
      </w:tr>
      <w:tr w:rsidR="004A7844" w:rsidRPr="00213150" w14:paraId="34C641C9" w14:textId="77777777" w:rsidTr="008D3AB2">
        <w:tc>
          <w:tcPr>
            <w:tcW w:w="1317" w:type="dxa"/>
          </w:tcPr>
          <w:p w14:paraId="34C641C1" w14:textId="77777777" w:rsidR="004A7844" w:rsidRPr="00213150" w:rsidRDefault="004A7844" w:rsidP="008D3AB2">
            <w:pPr>
              <w:rPr>
                <w:rFonts w:asciiTheme="majorHAnsi" w:hAnsiTheme="majorHAnsi" w:cstheme="majorHAnsi"/>
              </w:rPr>
            </w:pPr>
            <w:r>
              <w:rPr>
                <w:rFonts w:asciiTheme="majorHAnsi" w:hAnsiTheme="majorHAnsi"/>
              </w:rPr>
              <w:t xml:space="preserve">4(a)i </w:t>
            </w:r>
          </w:p>
        </w:tc>
        <w:tc>
          <w:tcPr>
            <w:tcW w:w="5518" w:type="dxa"/>
          </w:tcPr>
          <w:p w14:paraId="34C641C2" w14:textId="77777777" w:rsidR="004A7844" w:rsidRPr="00213150" w:rsidRDefault="004A7844" w:rsidP="008D3AB2">
            <w:pPr>
              <w:rPr>
                <w:rFonts w:asciiTheme="majorHAnsi" w:hAnsiTheme="majorHAnsi" w:cstheme="majorHAnsi"/>
              </w:rPr>
            </w:pPr>
            <w:r>
              <w:rPr>
                <w:rFonts w:asciiTheme="majorHAnsi" w:hAnsiTheme="majorHAnsi"/>
              </w:rPr>
              <w:t>Marrëveshjet institucionale të brendshme, pjesëmarrjen dhe angazhimin e publikut me komunitetet vendore dhe popullatën autoktone, në një mënyrë që trajton çështjet gjinore;</w:t>
            </w:r>
          </w:p>
        </w:tc>
        <w:tc>
          <w:tcPr>
            <w:tcW w:w="6115" w:type="dxa"/>
          </w:tcPr>
          <w:p w14:paraId="34C641C3" w14:textId="77777777" w:rsidR="004A7844" w:rsidRPr="005C1DF0" w:rsidRDefault="004A7844" w:rsidP="008D3AB2">
            <w:pPr>
              <w:rPr>
                <w:rFonts w:asciiTheme="majorHAnsi" w:hAnsiTheme="majorHAnsi" w:cstheme="majorHAnsi"/>
              </w:rPr>
            </w:pPr>
            <w:r w:rsidRPr="005C1DF0">
              <w:rPr>
                <w:rFonts w:asciiTheme="majorHAnsi" w:hAnsiTheme="majorHAnsi"/>
              </w:rPr>
              <w:t xml:space="preserve">Meqenëse KKP-ja miratohet me Vendim të Këshillit të Ministrave, ka një procedurë specifike për miratimin e saj dhe garantimin e pjesëmarrjes së publikut dhe të komuniteteve vendase. </w:t>
            </w:r>
          </w:p>
          <w:p w14:paraId="34C641C4" w14:textId="77777777" w:rsidR="004A7844" w:rsidRPr="005C1DF0" w:rsidRDefault="004A7844" w:rsidP="008D3AB2">
            <w:pPr>
              <w:rPr>
                <w:rFonts w:asciiTheme="majorHAnsi" w:hAnsiTheme="majorHAnsi" w:cstheme="majorHAnsi"/>
              </w:rPr>
            </w:pPr>
            <w:r w:rsidRPr="005C1DF0">
              <w:rPr>
                <w:rFonts w:asciiTheme="majorHAnsi" w:hAnsiTheme="majorHAnsi"/>
              </w:rPr>
              <w:lastRenderedPageBreak/>
              <w:t>Sipas marrëveshjeve institucionale, drafti i KKP-së duhet të qarkullojë në të gjitha ministritë dhe agjencitë përkatëse të linjës, me qëllim që këto të fundit të japin komentet e tyre përpara se drafti të dërgohet në Këshillin e Ministrave për miratimin përfundimtar.</w:t>
            </w:r>
          </w:p>
          <w:p w14:paraId="34C641C5" w14:textId="77777777" w:rsidR="004A7844" w:rsidRPr="005C1DF0" w:rsidRDefault="004A7844" w:rsidP="008D3AB2">
            <w:pPr>
              <w:rPr>
                <w:rFonts w:asciiTheme="majorHAnsi" w:hAnsiTheme="majorHAnsi" w:cstheme="majorHAnsi"/>
                <w:i/>
                <w:iCs/>
              </w:rPr>
            </w:pPr>
            <w:r w:rsidRPr="005C1DF0">
              <w:rPr>
                <w:rFonts w:asciiTheme="majorHAnsi" w:hAnsiTheme="majorHAnsi"/>
              </w:rPr>
              <w:t xml:space="preserve">Gjithashtu, në përputhje me ligjin nr. 146, datë 30.10.2014 "Për njoftimin dhe konsultimin publik" </w:t>
            </w:r>
            <w:r w:rsidRPr="005C1DF0">
              <w:rPr>
                <w:rFonts w:asciiTheme="majorHAnsi" w:hAnsiTheme="majorHAnsi"/>
                <w:i/>
                <w:iCs/>
              </w:rPr>
              <w:t>Organet publike janë të detyruara të marrin të gjitha masat e nevojshme, në mënyrë që të krijojnë mundësi për pjesëmarrjen e publikut dhe të të gjitha palëve të interesuara në procesin e njoftimit e të konsultimit publik, përfshirë:</w:t>
            </w:r>
          </w:p>
          <w:p w14:paraId="34C641C6" w14:textId="77777777" w:rsidR="004A7844" w:rsidRPr="005C1DF0" w:rsidRDefault="004A7844" w:rsidP="008D3AB2">
            <w:pPr>
              <w:rPr>
                <w:rFonts w:asciiTheme="majorHAnsi" w:hAnsiTheme="majorHAnsi" w:cstheme="majorHAnsi"/>
                <w:i/>
                <w:iCs/>
              </w:rPr>
            </w:pPr>
            <w:r w:rsidRPr="005C1DF0">
              <w:rPr>
                <w:rFonts w:asciiTheme="majorHAnsi" w:hAnsiTheme="majorHAnsi"/>
                <w:i/>
                <w:iCs/>
              </w:rPr>
              <w:t>a) publikimin në regjistrin elektronik të projektaktit, të njoftimit për konsultim dhe të dhënave të lidhura me konsultimin e projektakteve;</w:t>
            </w:r>
          </w:p>
          <w:p w14:paraId="130B6FA0" w14:textId="77777777" w:rsidR="000E0134" w:rsidRPr="005C1DF0" w:rsidRDefault="004A7844" w:rsidP="008D3AB2">
            <w:pPr>
              <w:rPr>
                <w:rFonts w:asciiTheme="majorHAnsi" w:hAnsiTheme="majorHAnsi"/>
              </w:rPr>
            </w:pPr>
            <w:r w:rsidRPr="005C1DF0">
              <w:rPr>
                <w:rFonts w:asciiTheme="majorHAnsi" w:hAnsiTheme="majorHAnsi"/>
                <w:i/>
                <w:iCs/>
              </w:rPr>
              <w:t>b) publikimin në programin e transparencës, sipas ligjit nr. 119/2014 “Për të drejtën e informimit”, të planeve vjetore të organeve publike që lidhen me procesin e vendimmarrjes, në kuptim të këtij ligji</w:t>
            </w:r>
            <w:r w:rsidRPr="005C1DF0">
              <w:rPr>
                <w:rFonts w:asciiTheme="majorHAnsi" w:hAnsiTheme="majorHAnsi"/>
              </w:rPr>
              <w:t>.</w:t>
            </w:r>
          </w:p>
          <w:p w14:paraId="0DE36D47" w14:textId="108FE12E" w:rsidR="000E0134" w:rsidRPr="005C1DF0" w:rsidRDefault="007966BB" w:rsidP="008D3AB2">
            <w:pPr>
              <w:rPr>
                <w:rFonts w:asciiTheme="majorHAnsi" w:hAnsiTheme="majorHAnsi"/>
              </w:rPr>
            </w:pPr>
            <w:r>
              <w:rPr>
                <w:rFonts w:asciiTheme="majorHAnsi" w:hAnsiTheme="majorHAnsi"/>
              </w:rPr>
              <w:t>P</w:t>
            </w:r>
            <w:r w:rsidR="000E0134" w:rsidRPr="005C1DF0">
              <w:rPr>
                <w:rFonts w:asciiTheme="majorHAnsi" w:hAnsiTheme="majorHAnsi"/>
              </w:rPr>
              <w:t>ërpara miratimit, projektakti do të publikohet në regjistrin elektronik të projektakteve për komente nga publiku.</w:t>
            </w:r>
          </w:p>
          <w:p w14:paraId="34C641C8" w14:textId="26D44712" w:rsidR="004A7844" w:rsidRPr="005C1DF0" w:rsidRDefault="000E0134" w:rsidP="005C1DF0">
            <w:pPr>
              <w:rPr>
                <w:rFonts w:asciiTheme="majorHAnsi" w:hAnsiTheme="majorHAnsi"/>
              </w:rPr>
            </w:pPr>
            <w:r w:rsidRPr="000E0134">
              <w:rPr>
                <w:rFonts w:asciiTheme="majorHAnsi" w:hAnsiTheme="majorHAnsi"/>
              </w:rPr>
              <w:t xml:space="preserve">Komentet e paraqitura nga ministritë e linjës dhe përmes Platformës elektronike të Konsultimit Publik shqyrtohen dhe merren në konsideratë gjatë rishikimit të draftit. Pasi komentet të jenë reflektuar, drafti i përditësuar i ridërgohet ministrive përkatëse të linjës për miratim përfundimtar, i shoqëruar nga një shënim i shkurtër shpjegues që tregon se si është trajtuar secili koment ose pse nuk mund të </w:t>
            </w:r>
            <w:r w:rsidRPr="000E0134">
              <w:rPr>
                <w:rFonts w:asciiTheme="majorHAnsi" w:hAnsiTheme="majorHAnsi"/>
              </w:rPr>
              <w:lastRenderedPageBreak/>
              <w:t>përfshihej. Pas këtij hapi, dhe pas sigurimit të miratimit përfundimtar ndërinstitucional, drafti i paraqitet zyrtarisht Këshillit të Ministrave për miratim sipas procedurave ligjore kombëtare.</w:t>
            </w:r>
          </w:p>
        </w:tc>
      </w:tr>
      <w:tr w:rsidR="004A7844" w:rsidRPr="00213150" w14:paraId="34C641E5" w14:textId="77777777" w:rsidTr="008D3AB2">
        <w:tc>
          <w:tcPr>
            <w:tcW w:w="1317" w:type="dxa"/>
          </w:tcPr>
          <w:p w14:paraId="34C641CA" w14:textId="77777777" w:rsidR="004A7844" w:rsidRPr="00213150" w:rsidRDefault="004A7844" w:rsidP="008D3AB2">
            <w:pPr>
              <w:rPr>
                <w:rFonts w:asciiTheme="majorHAnsi" w:hAnsiTheme="majorHAnsi" w:cstheme="majorHAnsi"/>
              </w:rPr>
            </w:pPr>
            <w:r>
              <w:rPr>
                <w:rFonts w:asciiTheme="majorHAnsi" w:hAnsiTheme="majorHAnsi"/>
              </w:rPr>
              <w:lastRenderedPageBreak/>
              <w:t>4(a)ii</w:t>
            </w:r>
          </w:p>
        </w:tc>
        <w:tc>
          <w:tcPr>
            <w:tcW w:w="5518" w:type="dxa"/>
          </w:tcPr>
          <w:p w14:paraId="34C641CB" w14:textId="77777777" w:rsidR="004A7844" w:rsidRPr="00213150" w:rsidRDefault="004A7844" w:rsidP="008D3AB2">
            <w:pPr>
              <w:rPr>
                <w:rFonts w:asciiTheme="majorHAnsi" w:hAnsiTheme="majorHAnsi" w:cstheme="majorHAnsi"/>
              </w:rPr>
            </w:pPr>
            <w:r>
              <w:rPr>
                <w:rFonts w:asciiTheme="majorHAnsi" w:hAnsiTheme="majorHAnsi"/>
              </w:rPr>
              <w:t>Çështjet kontekstuale, duke përfshirë, ndër të tjera, sipas rastit:</w:t>
            </w:r>
          </w:p>
          <w:p w14:paraId="34C641CC" w14:textId="0661B56B" w:rsidR="004A7844" w:rsidRPr="00213150" w:rsidRDefault="004A7844" w:rsidP="008D3AB2">
            <w:pPr>
              <w:rPr>
                <w:rFonts w:asciiTheme="majorHAnsi" w:hAnsiTheme="majorHAnsi" w:cstheme="majorHAnsi"/>
              </w:rPr>
            </w:pPr>
            <w:r>
              <w:rPr>
                <w:rFonts w:asciiTheme="majorHAnsi" w:hAnsiTheme="majorHAnsi"/>
              </w:rPr>
              <w:t>a. Rrethanat kombëtare, të tilla si gjeografia, klima, ekonomia, zhvillimi i qëndrueshëm dhe çrrënjosja e varfërisë.</w:t>
            </w:r>
          </w:p>
          <w:p w14:paraId="34C641CD" w14:textId="107B46D2" w:rsidR="004A7844" w:rsidRPr="00213150" w:rsidRDefault="004A7844" w:rsidP="008D3AB2">
            <w:pPr>
              <w:rPr>
                <w:rFonts w:asciiTheme="majorHAnsi" w:hAnsiTheme="majorHAnsi" w:cstheme="majorHAnsi"/>
              </w:rPr>
            </w:pPr>
            <w:r>
              <w:rPr>
                <w:rFonts w:asciiTheme="majorHAnsi" w:hAnsiTheme="majorHAnsi"/>
              </w:rPr>
              <w:t>b. Praktikat dhe përvojat më të mira në lidhje me përgatitjen e kontributit kombëtar të përcaktuar.</w:t>
            </w:r>
          </w:p>
          <w:p w14:paraId="34C641CE" w14:textId="77777777" w:rsidR="004A7844" w:rsidRPr="00213150" w:rsidRDefault="004A7844" w:rsidP="008D3AB2">
            <w:pPr>
              <w:rPr>
                <w:rFonts w:asciiTheme="majorHAnsi" w:hAnsiTheme="majorHAnsi" w:cstheme="majorHAnsi"/>
              </w:rPr>
            </w:pPr>
            <w:r>
              <w:rPr>
                <w:rFonts w:asciiTheme="majorHAnsi" w:hAnsiTheme="majorHAnsi"/>
              </w:rPr>
              <w:t>c. Aspiratat dhe përparësitë e tjera kontekstuale të pranuara pas pjesëmarrjes në Marrëveshjen e Parisit;</w:t>
            </w:r>
          </w:p>
        </w:tc>
        <w:tc>
          <w:tcPr>
            <w:tcW w:w="6115" w:type="dxa"/>
          </w:tcPr>
          <w:p w14:paraId="34C641CF" w14:textId="42B600C2" w:rsidR="004A7844" w:rsidRPr="00213150" w:rsidRDefault="004A7844" w:rsidP="008D3AB2">
            <w:pPr>
              <w:rPr>
                <w:rFonts w:asciiTheme="majorHAnsi" w:hAnsiTheme="majorHAnsi" w:cstheme="majorHAnsi"/>
              </w:rPr>
            </w:pPr>
            <w:r>
              <w:rPr>
                <w:rFonts w:asciiTheme="majorHAnsi" w:hAnsiTheme="majorHAnsi"/>
              </w:rPr>
              <w:t>Shqipëria ndodhet në cepin jugperëndimor të Gadishullit të Ballkanit dhe zë një sipërfaqe prej 28 748 kilometra katrorë, me një gjatësi maksimale prej rreth 340 km dhe gjerësi maksimale prej rreth 150 km. Pjesa më e madhe e vendit ka terren të thyer dhe malor. Maja më e lartë është Korabi, në zonën verilindore, me lartësi 2752 m. Shqipëria ka një vijë kufitare me gjatësi 1094 km, 30% e së cilës përbëhet nga bregdeti i detit Adriatik dhe detit Jon, si dhe nga disa liqene ndërkufitare, ndër të cilët vlen të përmendet liqeni i Shkodrës (më i madhi në Ballkan) dhe liqeni i Ohrit (më i thelli). Popullsia në Republikën e Shqipërisë, sipas censit të vitit 2023, ishte 2 402 113 banorë, një rënie me 420 000 banorë krahasuar me censin e vitit 2011. Dendësia e popullsisë së Shqipërisë është 83,6 banorë për kilometër katror dhe rënia e popullsisë ndjek tendencën e vëzhguar që nga viti 1990 që vjen si pasojë e fenomenit të emigracionit.</w:t>
            </w:r>
          </w:p>
          <w:p w14:paraId="34C641D0" w14:textId="77777777" w:rsidR="004A7844" w:rsidRPr="009D56D9" w:rsidRDefault="004A7844" w:rsidP="008D3AB2">
            <w:pPr>
              <w:rPr>
                <w:rFonts w:asciiTheme="majorHAnsi" w:hAnsiTheme="majorHAnsi" w:cstheme="majorHAnsi"/>
                <w:b/>
                <w:bCs/>
              </w:rPr>
            </w:pPr>
            <w:r>
              <w:rPr>
                <w:rFonts w:asciiTheme="majorHAnsi" w:hAnsiTheme="majorHAnsi"/>
                <w:b/>
                <w:bCs/>
              </w:rPr>
              <w:t>Konteksti politik</w:t>
            </w:r>
          </w:p>
          <w:p w14:paraId="34C641D1" w14:textId="1A23E3C8" w:rsidR="004A7844" w:rsidRPr="009D56D9" w:rsidRDefault="004A7844" w:rsidP="008D3AB2">
            <w:pPr>
              <w:rPr>
                <w:rFonts w:asciiTheme="majorHAnsi" w:hAnsiTheme="majorHAnsi" w:cstheme="majorHAnsi"/>
              </w:rPr>
            </w:pPr>
            <w:r>
              <w:rPr>
                <w:rFonts w:asciiTheme="majorHAnsi" w:hAnsiTheme="majorHAnsi"/>
              </w:rPr>
              <w:t xml:space="preserve">Shqipëria aplikoi për anëtarësim në Bashkimin Evropian (BE) në prill të vitit 2009 dhe që nga qershori i vitit 2014 është vend zyrtar kandidat për anëtarësim. Anëtarësimi në BE është një objektiv kryesor politik dhe strategjik, i cili formëson zhvillimin ligjor, ekonomik dhe institucional të Shqipërisë. Më 25 mars 2022, Këshilli i BE-së vendosi të hapë </w:t>
            </w:r>
            <w:r>
              <w:rPr>
                <w:rFonts w:asciiTheme="majorHAnsi" w:hAnsiTheme="majorHAnsi"/>
              </w:rPr>
              <w:lastRenderedPageBreak/>
              <w:t>negociatat për anëtarësim, vendim ky i cili u miratua nga Këshilli Evropian ditën pasuese (26 mars 2022). Shqipëria ka bërë progres të qëndrueshëm në rrugën e saj drejt anëtarësimit në BE. Integrimi në BE mbetet një prioritet kryesor i qeverisë shqiptare dhe procesi i negociatave shihet si një faktor nxitës thelbësor për avancimin e reformave që lidhen me BE-në sipas metodologjisë së rishikuar. Shqipëria miratoi pozicionin negociues për grupkapitullin 4 dhe e dorëzoi atë zyrtarisht në KE në qershor të vitit 2025. Negociatat për grupkapitullin 4 u hapën zyrtarisht më 16 shtator 2025, pas Konferencës së 6-të Ndërqeveritare me Shqipërinë.</w:t>
            </w:r>
          </w:p>
          <w:p w14:paraId="34C641D2" w14:textId="12DEF8D4" w:rsidR="004A7844" w:rsidRPr="009D56D9" w:rsidRDefault="004A7844" w:rsidP="008D3AB2">
            <w:pPr>
              <w:rPr>
                <w:rFonts w:asciiTheme="majorHAnsi" w:hAnsiTheme="majorHAnsi" w:cstheme="majorHAnsi"/>
              </w:rPr>
            </w:pPr>
            <w:r>
              <w:rPr>
                <w:rFonts w:asciiTheme="majorHAnsi" w:hAnsiTheme="majorHAnsi"/>
              </w:rPr>
              <w:t>Ndryshimet mjedisore dhe klimatike janë gjithashtu në fokus të qeverisë së re së formuar nga zgjedhjet e përgjithshme të vitit 2025. Në programin e qeverisë, një nga angazhimet për sektorin është: “të harmonizohen politikat klimatike në të gjithë sektorët për të reduktuar shkarkimet dhe për t'u përshtatur ndaj ndryshimeve klimatike.”</w:t>
            </w:r>
          </w:p>
          <w:p w14:paraId="34C641D3" w14:textId="725A279E" w:rsidR="004A7844" w:rsidRPr="009D56D9" w:rsidRDefault="004A7844" w:rsidP="008D3AB2">
            <w:pPr>
              <w:rPr>
                <w:rFonts w:asciiTheme="majorHAnsi" w:hAnsiTheme="majorHAnsi" w:cstheme="majorHAnsi"/>
              </w:rPr>
            </w:pPr>
            <w:r>
              <w:rPr>
                <w:rFonts w:asciiTheme="majorHAnsi" w:hAnsiTheme="majorHAnsi"/>
              </w:rPr>
              <w:t>Bashkëpunimi rajonal sipas Procesit të Berlinit dhe miratimi nga ana e Shqipërisë i Deklaratës së Sofjes për Agjendën e Gjelbër për Ballkanin Perëndimor kanë forcuar më tej angazhimin e saj për një të ardhme neutrale ndaj karbonit brenda vitit 2050. Shqipëria është e angazhuar në zbatimin e Planit të Veprimit për Agjendën e Gjelbër dhe është përfshirë gjithashtu në mënyrë aktive në përditësimin më të fundit të këtij plani.</w:t>
            </w:r>
          </w:p>
          <w:p w14:paraId="34C641D4" w14:textId="77777777" w:rsidR="004A7844" w:rsidRPr="009D56D9" w:rsidRDefault="004A7844" w:rsidP="008D3AB2">
            <w:pPr>
              <w:rPr>
                <w:rFonts w:asciiTheme="majorHAnsi" w:hAnsiTheme="majorHAnsi" w:cstheme="majorHAnsi"/>
              </w:rPr>
            </w:pPr>
            <w:r>
              <w:rPr>
                <w:rFonts w:asciiTheme="majorHAnsi" w:hAnsiTheme="majorHAnsi"/>
              </w:rPr>
              <w:t xml:space="preserve">Shqipëria është palë në pjesën më të madhe të marrëveshjeve mjedisore shumëpalëshe, duke përfshirë në </w:t>
            </w:r>
            <w:r>
              <w:rPr>
                <w:rFonts w:asciiTheme="majorHAnsi" w:hAnsiTheme="majorHAnsi"/>
              </w:rPr>
              <w:lastRenderedPageBreak/>
              <w:t>Konventën Kuadër të Kombeve të Bashkuara për Ndryshimet Klimatike që nga viti 1994, si dhe ka ratifikuar Protokollin e Kiotos dhe Marrëveshjen e Parisit, përkatësisht në vitet 2005 dhe 2016. Shqipëria ka qenë anëtare aktive në Konferencën e Palëve, si dhe po punon drejt përmbushjes së angazhimeve.</w:t>
            </w:r>
          </w:p>
          <w:p w14:paraId="34C641D5" w14:textId="77777777" w:rsidR="004A7844" w:rsidRPr="009D56D9" w:rsidRDefault="004A7844" w:rsidP="008D3AB2">
            <w:pPr>
              <w:rPr>
                <w:rFonts w:asciiTheme="majorHAnsi" w:hAnsiTheme="majorHAnsi" w:cstheme="majorHAnsi"/>
                <w:b/>
                <w:bCs/>
              </w:rPr>
            </w:pPr>
            <w:r>
              <w:rPr>
                <w:rFonts w:asciiTheme="majorHAnsi" w:hAnsiTheme="majorHAnsi"/>
                <w:b/>
                <w:bCs/>
              </w:rPr>
              <w:t>Konteksti ekonomik</w:t>
            </w:r>
          </w:p>
          <w:p w14:paraId="34C641D6" w14:textId="37B44EB3" w:rsidR="004A7844" w:rsidRPr="009D56D9" w:rsidRDefault="004A7844" w:rsidP="008D3AB2">
            <w:pPr>
              <w:rPr>
                <w:rFonts w:asciiTheme="majorHAnsi" w:hAnsiTheme="majorHAnsi" w:cstheme="majorHAnsi"/>
              </w:rPr>
            </w:pPr>
            <w:r>
              <w:rPr>
                <w:rFonts w:asciiTheme="majorHAnsi" w:hAnsiTheme="majorHAnsi"/>
              </w:rPr>
              <w:t>Ekonomia e Shqipërisë ka regjistruar rritje të qëndrueshme. Në vitin 2024, rritja ishte 4% ndërsa projeksionet për vitet e ardhshme janë disi më të ulëta, por megjithatë pozitive (rreth 3–3,5%). Ekonomia dominohet nga sektori i shërbimeve, ndërsa sektorët kyç janë turizmi, tregtia, transporti dhe pasuritë e paluajtshme. Vlen të theksohet se bujqësia mbetet e rëndësishme, sidomos për punësimin, por kontributi i saj relativ është në rënie. Deficiti ka njohur luhatje; borxhi publik është në nivele mesatare, rreth 55</w:t>
            </w:r>
            <w:r>
              <w:rPr>
                <w:rFonts w:ascii="Cambria Math" w:hAnsi="Cambria Math"/>
              </w:rPr>
              <w:t>‑</w:t>
            </w:r>
            <w:r>
              <w:rPr>
                <w:rFonts w:asciiTheme="majorHAnsi" w:hAnsiTheme="majorHAnsi"/>
              </w:rPr>
              <w:t>60% e PBB-së në vitet e fundit (INSTAT, 2025).</w:t>
            </w:r>
          </w:p>
          <w:p w14:paraId="34C641D7" w14:textId="77777777" w:rsidR="004A7844" w:rsidRPr="009D56D9" w:rsidRDefault="004A7844" w:rsidP="008D3AB2">
            <w:pPr>
              <w:rPr>
                <w:rFonts w:asciiTheme="majorHAnsi" w:hAnsiTheme="majorHAnsi" w:cstheme="majorHAnsi"/>
              </w:rPr>
            </w:pPr>
            <w:r>
              <w:rPr>
                <w:rFonts w:asciiTheme="majorHAnsi" w:hAnsiTheme="majorHAnsi"/>
              </w:rPr>
              <w:t>Zbatimi i politikave të Shqipërisë për klimën dhe energjinë pritet të sjellë përfitime të konsiderueshme ekonomike. Investimet në burimet e rinovueshme, efiçencën e energjisë dhe teknologjitë e gjelbra, do të kontribuojnë në rritjen e PBB-së, në krijimin e vendeve të reja të punës dhe në reduktimin e varësisë nga importet e energjisë, duke përmirësuar stabilitetin makroekonomik.</w:t>
            </w:r>
          </w:p>
          <w:p w14:paraId="34C641D8" w14:textId="77777777" w:rsidR="004A7844" w:rsidRPr="009D56D9" w:rsidRDefault="004A7844" w:rsidP="008D3AB2">
            <w:pPr>
              <w:rPr>
                <w:rFonts w:asciiTheme="majorHAnsi" w:hAnsiTheme="majorHAnsi" w:cstheme="majorHAnsi"/>
              </w:rPr>
            </w:pPr>
            <w:r>
              <w:rPr>
                <w:rFonts w:asciiTheme="majorHAnsi" w:hAnsiTheme="majorHAnsi"/>
              </w:rPr>
              <w:t xml:space="preserve">Sektorët si ndërtimi, prodhimi dhe teknologjia pritet të zgjerohen për shkak të rritjes së kërkesës për ndërtesat me efiçencë energjie dhe për infrastrukturën e energjisë së rinovueshme. Tranzicioni i gjelbër do të stimulojë gjithashtu </w:t>
            </w:r>
            <w:r>
              <w:rPr>
                <w:rFonts w:asciiTheme="majorHAnsi" w:hAnsiTheme="majorHAnsi"/>
              </w:rPr>
              <w:lastRenderedPageBreak/>
              <w:t>novacionin dhe zhvillimin e tregjeve të reja, duke mbështetur njëkohësisht qëndrueshmërinë fiskale përmes rritjes së të ardhurave nga tatimet dhe uljes së subvencioneve.</w:t>
            </w:r>
          </w:p>
          <w:p w14:paraId="34C641D9" w14:textId="77777777" w:rsidR="004A7844" w:rsidRPr="009D56D9" w:rsidRDefault="004A7844" w:rsidP="008D3AB2">
            <w:pPr>
              <w:rPr>
                <w:rFonts w:asciiTheme="majorHAnsi" w:hAnsiTheme="majorHAnsi" w:cstheme="majorHAnsi"/>
                <w:b/>
                <w:bCs/>
              </w:rPr>
            </w:pPr>
            <w:r>
              <w:rPr>
                <w:rFonts w:asciiTheme="majorHAnsi" w:hAnsiTheme="majorHAnsi"/>
                <w:b/>
                <w:bCs/>
              </w:rPr>
              <w:t>Konteksti mjedisor</w:t>
            </w:r>
          </w:p>
          <w:p w14:paraId="34C641DA" w14:textId="0C01A591" w:rsidR="004A7844" w:rsidRPr="009D56D9" w:rsidRDefault="004A7844" w:rsidP="008D3AB2">
            <w:pPr>
              <w:rPr>
                <w:rFonts w:asciiTheme="majorHAnsi" w:hAnsiTheme="majorHAnsi" w:cstheme="majorHAnsi"/>
              </w:rPr>
            </w:pPr>
            <w:r>
              <w:rPr>
                <w:rFonts w:asciiTheme="majorHAnsi" w:hAnsiTheme="majorHAnsi"/>
              </w:rPr>
              <w:t xml:space="preserve">Kushtetuta e Shqipërisë e konsideron zhvillimin e qëndrueshëm të turizmit dhe mbrojtjen e mjedisit si një nga objektivat parësore të vendit. Mbrojtja e mjedisit dhe ruajtja e natyrës njihen si vlera themelore kushtetuese, të cilat çdo individ ka përgjegjësinë t'i mbrojë dhe përmirësojë. </w:t>
            </w:r>
          </w:p>
          <w:p w14:paraId="34C641DB" w14:textId="77777777" w:rsidR="004A7844" w:rsidRPr="009D56D9" w:rsidRDefault="004A7844" w:rsidP="008D3AB2">
            <w:pPr>
              <w:rPr>
                <w:rFonts w:asciiTheme="majorHAnsi" w:hAnsiTheme="majorHAnsi" w:cstheme="majorHAnsi"/>
              </w:rPr>
            </w:pPr>
            <w:r>
              <w:rPr>
                <w:rFonts w:asciiTheme="majorHAnsi" w:hAnsiTheme="majorHAnsi"/>
              </w:rPr>
              <w:t>Që nga viti 2002, vendi ka filluar procesin e harmonizimit të legjislacionit mjedisor me legjislacionin e BE-së dhe janë miratuar ligje të reja për mjedisin, mbrojtjen e natyrës, burimet ujore, cilësinë e ajrit dhe menaxhimin e mbetjeve. Ka ligje specifike që rregullojnë procesin e VNM-së, VSM-së, si dhe për kontrollin e integruar të ndotjes (KIN), menaxhimin e rrezikut dhe kimikatet.</w:t>
            </w:r>
          </w:p>
          <w:p w14:paraId="34C641DC" w14:textId="426C191E" w:rsidR="004A7844" w:rsidRPr="009D56D9" w:rsidRDefault="004A7844" w:rsidP="008D3AB2">
            <w:pPr>
              <w:rPr>
                <w:rFonts w:asciiTheme="majorHAnsi" w:hAnsiTheme="majorHAnsi" w:cstheme="majorHAnsi"/>
              </w:rPr>
            </w:pPr>
            <w:r>
              <w:rPr>
                <w:rFonts w:asciiTheme="majorHAnsi" w:hAnsiTheme="majorHAnsi"/>
              </w:rPr>
              <w:t>Ndonëse Shqipëria mund të konsiderohet si një vend që ka hedhur themelet për progres mjedisor dhe mbrojtje të mjedisit, sfida më e madhe është zbatimi i legjislacionit lidhur me menaxhimin e ujërave dhe të mbetjeve, mbrojtjen e natyrës, energjinë, ndotjen industriale, menaxhimin e rrezikut, si dhe me zbutjen dhe përshtatjen ndaj ndryshimeve klimatike. Për më tepër, kapacitetet administrative janë të pamjaftueshme në nivel qendror dhe vendor, sidomos për sa i përket kualifikimeve dhe burimeve njerëzore në dispozicion për implementimin dhe zbatimin e legjislacionit të BE-së për mjedisin, energjinë dhe ndryshimet klimatike.</w:t>
            </w:r>
          </w:p>
          <w:p w14:paraId="34C641DD" w14:textId="77777777" w:rsidR="004A7844" w:rsidRPr="009D56D9" w:rsidRDefault="004A7844" w:rsidP="008D3AB2">
            <w:pPr>
              <w:rPr>
                <w:rFonts w:asciiTheme="majorHAnsi" w:hAnsiTheme="majorHAnsi" w:cstheme="majorHAnsi"/>
                <w:b/>
                <w:bCs/>
              </w:rPr>
            </w:pPr>
            <w:r>
              <w:rPr>
                <w:rFonts w:asciiTheme="majorHAnsi" w:hAnsiTheme="majorHAnsi"/>
                <w:b/>
                <w:bCs/>
              </w:rPr>
              <w:lastRenderedPageBreak/>
              <w:t>Konteksti i politikave për klimën dhe energjinë</w:t>
            </w:r>
          </w:p>
          <w:p w14:paraId="34C641DE" w14:textId="712D7CA8" w:rsidR="004A7844" w:rsidRPr="009D56D9" w:rsidRDefault="004A7844" w:rsidP="008D3AB2">
            <w:pPr>
              <w:rPr>
                <w:rFonts w:asciiTheme="majorHAnsi" w:hAnsiTheme="majorHAnsi" w:cstheme="majorHAnsi"/>
              </w:rPr>
            </w:pPr>
            <w:r>
              <w:rPr>
                <w:rFonts w:asciiTheme="majorHAnsi" w:hAnsiTheme="majorHAnsi"/>
              </w:rPr>
              <w:t>Politikat kombëtare për klimën dhe energjinë luajnë një rol qendror në adresimin e sfidave mjedisore, duke u fokusuar në reduktimin e GES-ve, në zgjerimin e energjisë së rinovueshme dhe në efiçencën e energjisë. Këto masa shoqërohen me përpjekjet në bujqësi, transport dhe ruajtjen e biodiversitetit. Shqipëria synon të ekuilibrojë zhvillimin e energjisë me mbrojtjen e ekosistemit përmes integrimit të aspekteve të ndikimit në mjedis në planifikimin e infrastrukturës. Veprimet për zbutjen dhe përshtatjen ndaj ndryshimeve klimatike mbështesin shëndetin e tokës, bujqësinë, biodiversitetin dhe restaurimin e habitateve natyrore.</w:t>
            </w:r>
          </w:p>
          <w:p w14:paraId="34C641DF" w14:textId="77777777" w:rsidR="004A7844" w:rsidRPr="009D56D9" w:rsidRDefault="004A7844" w:rsidP="008D3AB2">
            <w:pPr>
              <w:rPr>
                <w:rFonts w:asciiTheme="majorHAnsi" w:hAnsiTheme="majorHAnsi" w:cstheme="majorHAnsi"/>
              </w:rPr>
            </w:pPr>
            <w:r>
              <w:rPr>
                <w:rFonts w:asciiTheme="majorHAnsi" w:hAnsiTheme="majorHAnsi"/>
              </w:rPr>
              <w:t>Me nënshkrimin e Marrëveshjes së Parisit nga qeveria (Nju-Jork, 22 prill 2016), Shqipëria hyri në një epokë të re në procesin e politikave ndërkombëtare për klimën, në të cilën të gjitha palët synojnë bashkërisht ta kufizojnë rritjen globale të temperaturës deri në 2°C mbi nivelet paraindustriale.</w:t>
            </w:r>
          </w:p>
          <w:p w14:paraId="34C641E0" w14:textId="292B2B54" w:rsidR="004A7844" w:rsidRPr="009D56D9" w:rsidRDefault="004A7844" w:rsidP="008D3AB2">
            <w:pPr>
              <w:rPr>
                <w:rFonts w:asciiTheme="majorHAnsi" w:hAnsiTheme="majorHAnsi" w:cstheme="majorHAnsi"/>
              </w:rPr>
            </w:pPr>
            <w:r>
              <w:rPr>
                <w:rFonts w:asciiTheme="majorHAnsi" w:hAnsiTheme="majorHAnsi"/>
              </w:rPr>
              <w:t>Strategjia Kombëtare e Energjisë, PKEK-ja për periudhën 2020-2030, Plani i Veprimit për Zbutjen, si pjesë integrale e Strategjisë Kombëtare për Ndryshimet Klimatike, Plani Kombëtar për Zbutjen e GES-ve dhe Strategjia e Transportit, kanë përcaktuar objektiva dhe pikësynime për rritjen e sigurisë së furnizimit me anë të investimeve në sektorin e energjisë elektrike, penetrimit të gazit në tregun shqiptar dhe rritjes së përqindjes së BRE-ve dhe efiçencës së energjisë, pasuar nga një reduktim i shkarkimit të GES-ve.</w:t>
            </w:r>
          </w:p>
          <w:p w14:paraId="34C641E1" w14:textId="77777777" w:rsidR="004A7844" w:rsidRPr="009D56D9" w:rsidRDefault="004A7844" w:rsidP="008D3AB2">
            <w:pPr>
              <w:rPr>
                <w:rFonts w:asciiTheme="majorHAnsi" w:hAnsiTheme="majorHAnsi" w:cstheme="majorHAnsi"/>
                <w:b/>
                <w:bCs/>
              </w:rPr>
            </w:pPr>
            <w:r>
              <w:rPr>
                <w:rFonts w:asciiTheme="majorHAnsi" w:hAnsiTheme="majorHAnsi"/>
                <w:b/>
                <w:bCs/>
              </w:rPr>
              <w:lastRenderedPageBreak/>
              <w:t>Konteksti social</w:t>
            </w:r>
          </w:p>
          <w:p w14:paraId="34C641E2" w14:textId="77777777" w:rsidR="004A7844" w:rsidRPr="009D56D9" w:rsidRDefault="004A7844" w:rsidP="008D3AB2">
            <w:pPr>
              <w:rPr>
                <w:rFonts w:asciiTheme="majorHAnsi" w:hAnsiTheme="majorHAnsi" w:cstheme="majorHAnsi"/>
              </w:rPr>
            </w:pPr>
            <w:r>
              <w:rPr>
                <w:rFonts w:asciiTheme="majorHAnsi" w:hAnsiTheme="majorHAnsi"/>
              </w:rPr>
              <w:t>Politikat për klimën dhe energjinë janë projektuar për të qenë gjithëpërfshirëse nga ana sociale, duke synuar përmirësimin e mirëqenies, kapitalit dhe aksesit në burimet e energjisë, veçanërisht për popullatat e cenueshme. Investimet e gjelbra në ndërtim dhe në burimet e rinovueshme kanë çuar në krijimin e vendeve të reja të punës dhe në rritjen e të ardhurave, duke kontribuuar në uljen e varfërisë dhe në zhvillimin social.</w:t>
            </w:r>
          </w:p>
          <w:p w14:paraId="34C641E3" w14:textId="77777777" w:rsidR="004A7844" w:rsidRPr="009D56D9" w:rsidRDefault="004A7844" w:rsidP="008D3AB2">
            <w:pPr>
              <w:rPr>
                <w:rFonts w:asciiTheme="majorHAnsi" w:hAnsiTheme="majorHAnsi" w:cstheme="majorHAnsi"/>
              </w:rPr>
            </w:pPr>
            <w:r>
              <w:rPr>
                <w:rFonts w:asciiTheme="majorHAnsi" w:hAnsiTheme="majorHAnsi"/>
              </w:rPr>
              <w:t>Pjesëmarrja publike dhe angazhimi i grupeve të interesit janë nënvizuar si elemente të rëndësishme për të garantuar tranzicione transparente dhe të pranueshme nga ana sociale. Programet e edukimit dhe të ndërgjegjësimit promovojnë më tej menaxhimin e kujdesshëm mjedisor dhe fuqizojnë komunitetet për të mbështetur veprimet për klimën.</w:t>
            </w:r>
          </w:p>
          <w:p w14:paraId="34C641E4" w14:textId="3275DCFC" w:rsidR="004A7844" w:rsidRPr="00213150" w:rsidRDefault="004A7844" w:rsidP="008D3AB2">
            <w:pPr>
              <w:rPr>
                <w:rFonts w:asciiTheme="majorHAnsi" w:hAnsiTheme="majorHAnsi" w:cstheme="majorHAnsi"/>
              </w:rPr>
            </w:pPr>
            <w:r>
              <w:rPr>
                <w:rFonts w:asciiTheme="majorHAnsi" w:hAnsiTheme="majorHAnsi"/>
              </w:rPr>
              <w:t>Në mënyrë të veçantë, objektivat kombëtarë lidhur me efiçencën e energjisë kanë për qëllim reduktimin e konsumit të energjisë për njësi, duke kontribuar kështu në furnizimin me energji të përballueshme dhe reduktimin e varfërisë. Plani synon të balancojë objektivat mjedisore me mirëqenien sociale, duke përmirësuar cilësinë e jetës për të gjithë qytetarët.</w:t>
            </w:r>
          </w:p>
        </w:tc>
      </w:tr>
      <w:tr w:rsidR="004A7844" w:rsidRPr="00213150" w14:paraId="34C641EA" w14:textId="77777777" w:rsidTr="008D3AB2">
        <w:tc>
          <w:tcPr>
            <w:tcW w:w="1317" w:type="dxa"/>
          </w:tcPr>
          <w:p w14:paraId="34C641E6" w14:textId="77777777" w:rsidR="004A7844" w:rsidRPr="00213150" w:rsidRDefault="004A7844" w:rsidP="008D3AB2">
            <w:pPr>
              <w:rPr>
                <w:rFonts w:asciiTheme="majorHAnsi" w:hAnsiTheme="majorHAnsi" w:cstheme="majorHAnsi"/>
              </w:rPr>
            </w:pPr>
            <w:r>
              <w:rPr>
                <w:rFonts w:asciiTheme="majorHAnsi" w:hAnsiTheme="majorHAnsi"/>
              </w:rPr>
              <w:lastRenderedPageBreak/>
              <w:t>4(b)</w:t>
            </w:r>
          </w:p>
        </w:tc>
        <w:tc>
          <w:tcPr>
            <w:tcW w:w="5518" w:type="dxa"/>
          </w:tcPr>
          <w:p w14:paraId="34C641E7" w14:textId="77777777" w:rsidR="004A7844" w:rsidRPr="00213150" w:rsidRDefault="004A7844" w:rsidP="008D3AB2">
            <w:pPr>
              <w:rPr>
                <w:rFonts w:asciiTheme="majorHAnsi" w:hAnsiTheme="majorHAnsi" w:cstheme="majorHAnsi"/>
              </w:rPr>
            </w:pPr>
            <w:r>
              <w:rPr>
                <w:rFonts w:asciiTheme="majorHAnsi" w:hAnsiTheme="majorHAnsi"/>
              </w:rPr>
              <w:t xml:space="preserve">Informacioni specifik i zbatueshëm për Palët, duke përfshirë organizatat rajonale të integrimit ekonomik dhe shtetet e tyre anëtare, që kanë arritur një marrëveshje për të vepruar së bashku sipas nenit 4, paragrafi 2, të Marrëveshjes së Parisit, përfshirë Palët që kanë rënë </w:t>
            </w:r>
            <w:r>
              <w:rPr>
                <w:rFonts w:asciiTheme="majorHAnsi" w:hAnsiTheme="majorHAnsi"/>
              </w:rPr>
              <w:lastRenderedPageBreak/>
              <w:t>dakord të veprojnë bashkërisht dhe kushtet e marrëveshjes, në përputhje me nenin 4, paragrafët 16–18, të Marrëveshjes së Parisit;</w:t>
            </w:r>
          </w:p>
        </w:tc>
        <w:tc>
          <w:tcPr>
            <w:tcW w:w="6115" w:type="dxa"/>
          </w:tcPr>
          <w:p w14:paraId="34C641E9" w14:textId="36F1A1B8" w:rsidR="004A7844" w:rsidRPr="00213150" w:rsidRDefault="004A7844" w:rsidP="00852E36">
            <w:pPr>
              <w:rPr>
                <w:rFonts w:asciiTheme="majorHAnsi" w:hAnsiTheme="majorHAnsi" w:cstheme="majorHAnsi"/>
              </w:rPr>
            </w:pPr>
            <w:r>
              <w:rPr>
                <w:rFonts w:asciiTheme="majorHAnsi" w:hAnsiTheme="majorHAnsi"/>
              </w:rPr>
              <w:lastRenderedPageBreak/>
              <w:t>Objektivi i përditësuar i KKP-së do të përmbushet nga Shqipëria dhe nuk është pjesë e marrëveshjes së përbashkët rajonale.</w:t>
            </w:r>
          </w:p>
        </w:tc>
      </w:tr>
      <w:tr w:rsidR="004A7844" w:rsidRPr="00213150" w14:paraId="34C641EE" w14:textId="77777777" w:rsidTr="008D3AB2">
        <w:tc>
          <w:tcPr>
            <w:tcW w:w="1317" w:type="dxa"/>
          </w:tcPr>
          <w:p w14:paraId="34C641EB" w14:textId="3FFBB602" w:rsidR="004A7844" w:rsidRPr="00213150" w:rsidRDefault="004A7844" w:rsidP="008D3AB2">
            <w:pPr>
              <w:rPr>
                <w:rFonts w:asciiTheme="majorHAnsi" w:hAnsiTheme="majorHAnsi" w:cstheme="majorHAnsi"/>
              </w:rPr>
            </w:pPr>
            <w:r>
              <w:rPr>
                <w:rFonts w:asciiTheme="majorHAnsi" w:hAnsiTheme="majorHAnsi"/>
              </w:rPr>
              <w:t>4(c)</w:t>
            </w:r>
          </w:p>
        </w:tc>
        <w:tc>
          <w:tcPr>
            <w:tcW w:w="5518" w:type="dxa"/>
          </w:tcPr>
          <w:p w14:paraId="34C641EC" w14:textId="06DC3D0D" w:rsidR="004A7844" w:rsidRPr="00213150" w:rsidRDefault="004A7844" w:rsidP="008D3AB2">
            <w:pPr>
              <w:rPr>
                <w:rFonts w:asciiTheme="majorHAnsi" w:hAnsiTheme="majorHAnsi" w:cstheme="majorHAnsi"/>
              </w:rPr>
            </w:pPr>
            <w:r>
              <w:rPr>
                <w:rFonts w:asciiTheme="majorHAnsi" w:hAnsiTheme="majorHAnsi"/>
              </w:rPr>
              <w:t>Në cilat informacione është mbështetur Pala për të përgatitur KKP-në e saj nga tërësia e inventarit global, në përputhje me nenin 4, paragrafi 9 të Marrëveshjes së Parisit;</w:t>
            </w:r>
          </w:p>
        </w:tc>
        <w:tc>
          <w:tcPr>
            <w:tcW w:w="6115" w:type="dxa"/>
          </w:tcPr>
          <w:p w14:paraId="34C641ED" w14:textId="5C07EDA2" w:rsidR="004A7844" w:rsidRPr="00213150" w:rsidRDefault="004A7844" w:rsidP="008D3AB2">
            <w:pPr>
              <w:rPr>
                <w:rFonts w:asciiTheme="majorHAnsi" w:hAnsiTheme="majorHAnsi" w:cstheme="majorHAnsi"/>
              </w:rPr>
            </w:pPr>
            <w:r>
              <w:rPr>
                <w:rFonts w:asciiTheme="majorHAnsi" w:hAnsiTheme="majorHAnsi"/>
              </w:rPr>
              <w:t>KKP 3.0 është më ambicioz se KKP-ja e mëparshme. Për më tepër, Shqipëria po punon gjithashtu drejt neutralitetit klimatik brenda vitit 2050, siç nënvizohet në Planin e saj Kombëtar të Energjisë dhe Klimës (PKEK).</w:t>
            </w:r>
          </w:p>
        </w:tc>
      </w:tr>
      <w:tr w:rsidR="004A7844" w:rsidRPr="00213150" w14:paraId="34C641F4" w14:textId="77777777" w:rsidTr="008D3AB2">
        <w:tc>
          <w:tcPr>
            <w:tcW w:w="1317" w:type="dxa"/>
          </w:tcPr>
          <w:p w14:paraId="34C641EF" w14:textId="77777777" w:rsidR="004A7844" w:rsidRPr="00213150" w:rsidRDefault="004A7844" w:rsidP="008D3AB2">
            <w:pPr>
              <w:rPr>
                <w:rFonts w:asciiTheme="majorHAnsi" w:hAnsiTheme="majorHAnsi" w:cstheme="majorHAnsi"/>
              </w:rPr>
            </w:pPr>
            <w:r>
              <w:rPr>
                <w:rFonts w:asciiTheme="majorHAnsi" w:hAnsiTheme="majorHAnsi"/>
              </w:rPr>
              <w:t>4(d)</w:t>
            </w:r>
          </w:p>
        </w:tc>
        <w:tc>
          <w:tcPr>
            <w:tcW w:w="5518" w:type="dxa"/>
          </w:tcPr>
          <w:p w14:paraId="34C641F0" w14:textId="77777777" w:rsidR="004A7844" w:rsidRPr="00213150" w:rsidRDefault="004A7844" w:rsidP="008D3AB2">
            <w:pPr>
              <w:rPr>
                <w:rFonts w:asciiTheme="majorHAnsi" w:hAnsiTheme="majorHAnsi" w:cstheme="majorHAnsi"/>
              </w:rPr>
            </w:pPr>
            <w:r>
              <w:rPr>
                <w:rFonts w:asciiTheme="majorHAnsi" w:hAnsiTheme="majorHAnsi"/>
              </w:rPr>
              <w:t>Secila Palë me një KKP sipas nenit 4 të Marrëveshjes së Parisit që konsiston në veprime për përshtatjen dhe/ose plane të diversifikimit ekonomik të cilat rezultojnë në përfitime të përbashkëta të zbutjes në përputhje me nenin 4, paragrafi 7, të Marrëveshjes së Parisit paraqet informacione në lidhje me:</w:t>
            </w:r>
          </w:p>
          <w:p w14:paraId="34C641F1" w14:textId="6FA0591C" w:rsidR="004A7844" w:rsidRDefault="004A7844" w:rsidP="008D3AB2">
            <w:pPr>
              <w:pStyle w:val="ListParagraph"/>
              <w:numPr>
                <w:ilvl w:val="0"/>
                <w:numId w:val="11"/>
              </w:numPr>
              <w:spacing w:before="0"/>
              <w:jc w:val="left"/>
              <w:rPr>
                <w:rFonts w:asciiTheme="majorHAnsi" w:hAnsiTheme="majorHAnsi" w:cstheme="majorHAnsi"/>
              </w:rPr>
            </w:pPr>
            <w:r>
              <w:rPr>
                <w:rFonts w:asciiTheme="majorHAnsi" w:hAnsiTheme="majorHAnsi"/>
              </w:rPr>
              <w:t>Mënyrën se si janë marrë në konsideratë pasojat ekonomike dhe sociale të masave të përgjigjes në zhvillimin e KKP-së.</w:t>
            </w:r>
          </w:p>
          <w:p w14:paraId="28A387FF" w14:textId="77777777" w:rsidR="00342EF6" w:rsidRPr="00342EF6" w:rsidRDefault="00342EF6" w:rsidP="00342EF6">
            <w:pPr>
              <w:spacing w:before="0"/>
              <w:jc w:val="left"/>
              <w:rPr>
                <w:rFonts w:asciiTheme="majorHAnsi" w:hAnsiTheme="majorHAnsi" w:cstheme="majorHAnsi"/>
              </w:rPr>
            </w:pPr>
          </w:p>
          <w:p w14:paraId="34C641F2" w14:textId="77777777" w:rsidR="004A7844" w:rsidRPr="00213150" w:rsidRDefault="004A7844" w:rsidP="008D3AB2">
            <w:pPr>
              <w:pStyle w:val="ListParagraph"/>
              <w:numPr>
                <w:ilvl w:val="0"/>
                <w:numId w:val="11"/>
              </w:numPr>
              <w:spacing w:before="0"/>
              <w:jc w:val="left"/>
              <w:rPr>
                <w:rFonts w:asciiTheme="majorHAnsi" w:hAnsiTheme="majorHAnsi" w:cstheme="majorHAnsi"/>
              </w:rPr>
            </w:pPr>
            <w:r>
              <w:rPr>
                <w:rFonts w:asciiTheme="majorHAnsi" w:hAnsiTheme="majorHAnsi"/>
              </w:rPr>
              <w:t xml:space="preserve">Projekte, masa dhe aktivitete specifike që do të zbatohen për të kontribuar në përfitimet e përbashkëta të zbutjes, duke përfshirë informacionin mbi planet e përshtatjes që gjithashtu japin përfitime të zbutjes, të cilat mund të mbulojnë, por nuk kufizohen me, sektorët kryesorë, siç janë burimet e energjisë, burimet </w:t>
            </w:r>
            <w:r>
              <w:rPr>
                <w:rFonts w:asciiTheme="majorHAnsi" w:hAnsiTheme="majorHAnsi"/>
              </w:rPr>
              <w:lastRenderedPageBreak/>
              <w:t>ujore, burimet bregdetare, vendbanimet dhe planifikimi urban, bujqësia dhe pyjet; dhe masat e diversifikimit ekonomik, të cilat mund të mbulojnë, por nuk kufizohen me sektorë të tillë si prodhimi dhe industria, energjia dhe minierat, transporti dhe komunikimi, ndërtimi, turizmi, pasuritë e paluajtshme, bujqësia dhe peshkimi.</w:t>
            </w:r>
          </w:p>
        </w:tc>
        <w:tc>
          <w:tcPr>
            <w:tcW w:w="6115" w:type="dxa"/>
          </w:tcPr>
          <w:p w14:paraId="34C641F3" w14:textId="77777777" w:rsidR="004A7844" w:rsidRPr="00213150" w:rsidRDefault="004A7844" w:rsidP="008D3AB2">
            <w:pPr>
              <w:rPr>
                <w:rFonts w:asciiTheme="majorHAnsi" w:hAnsiTheme="majorHAnsi" w:cstheme="majorHAnsi"/>
              </w:rPr>
            </w:pPr>
            <w:r>
              <w:rPr>
                <w:rFonts w:asciiTheme="majorHAnsi" w:hAnsiTheme="majorHAnsi"/>
              </w:rPr>
              <w:lastRenderedPageBreak/>
              <w:t>Nuk zbatohet (referojuni paragrafit 3d)</w:t>
            </w:r>
          </w:p>
        </w:tc>
      </w:tr>
      <w:tr w:rsidR="004A7844" w:rsidRPr="00213150" w14:paraId="34C641F8" w14:textId="77777777" w:rsidTr="008D3AB2">
        <w:tc>
          <w:tcPr>
            <w:tcW w:w="1317" w:type="dxa"/>
          </w:tcPr>
          <w:p w14:paraId="34C641F5" w14:textId="77777777" w:rsidR="004A7844" w:rsidRPr="00213150" w:rsidRDefault="004A7844" w:rsidP="008D3AB2">
            <w:pPr>
              <w:rPr>
                <w:rFonts w:asciiTheme="majorHAnsi" w:hAnsiTheme="majorHAnsi" w:cstheme="majorHAnsi"/>
                <w:b/>
                <w:bCs/>
              </w:rPr>
            </w:pPr>
            <w:r>
              <w:rPr>
                <w:rFonts w:asciiTheme="majorHAnsi" w:hAnsiTheme="majorHAnsi"/>
                <w:b/>
                <w:bCs/>
              </w:rPr>
              <w:t>5</w:t>
            </w:r>
          </w:p>
        </w:tc>
        <w:tc>
          <w:tcPr>
            <w:tcW w:w="11633" w:type="dxa"/>
            <w:gridSpan w:val="2"/>
          </w:tcPr>
          <w:p w14:paraId="34C641F7" w14:textId="20CC7444" w:rsidR="004A7844" w:rsidRPr="00213150" w:rsidRDefault="004A7844" w:rsidP="008D3AB2">
            <w:pPr>
              <w:rPr>
                <w:rFonts w:asciiTheme="majorHAnsi" w:hAnsiTheme="majorHAnsi" w:cstheme="majorHAnsi"/>
                <w:b/>
                <w:bCs/>
              </w:rPr>
            </w:pPr>
            <w:r>
              <w:rPr>
                <w:rFonts w:asciiTheme="majorHAnsi" w:hAnsiTheme="majorHAnsi"/>
                <w:b/>
                <w:bCs/>
              </w:rPr>
              <w:t>Supozimet dhe qasjet metodologjike, duke përfshirë ato për vlerësimin dhe llogaritjen e shkarkimeve antropogjene të gazeve me efekt serrë dhe, sipas rastit, përthithjet</w:t>
            </w:r>
          </w:p>
        </w:tc>
      </w:tr>
      <w:tr w:rsidR="004A7844" w:rsidRPr="00213150" w14:paraId="34C641FC" w14:textId="77777777" w:rsidTr="008D3AB2">
        <w:tc>
          <w:tcPr>
            <w:tcW w:w="1317" w:type="dxa"/>
          </w:tcPr>
          <w:p w14:paraId="34C641F9" w14:textId="77777777" w:rsidR="004A7844" w:rsidRPr="00213150" w:rsidRDefault="004A7844" w:rsidP="008D3AB2">
            <w:pPr>
              <w:rPr>
                <w:rFonts w:asciiTheme="majorHAnsi" w:hAnsiTheme="majorHAnsi" w:cstheme="majorHAnsi"/>
              </w:rPr>
            </w:pPr>
            <w:r>
              <w:rPr>
                <w:rFonts w:asciiTheme="majorHAnsi" w:hAnsiTheme="majorHAnsi"/>
              </w:rPr>
              <w:t>5(a)</w:t>
            </w:r>
          </w:p>
        </w:tc>
        <w:tc>
          <w:tcPr>
            <w:tcW w:w="5518" w:type="dxa"/>
          </w:tcPr>
          <w:p w14:paraId="34C641FA" w14:textId="77777777" w:rsidR="004A7844" w:rsidRPr="00213150" w:rsidRDefault="004A7844" w:rsidP="008D3AB2">
            <w:pPr>
              <w:rPr>
                <w:rFonts w:asciiTheme="majorHAnsi" w:hAnsiTheme="majorHAnsi" w:cstheme="majorHAnsi"/>
              </w:rPr>
            </w:pPr>
            <w:r>
              <w:rPr>
                <w:rFonts w:asciiTheme="majorHAnsi" w:hAnsiTheme="majorHAnsi"/>
              </w:rPr>
              <w:t>Supozimet dhe qasjet metodologjike të përdorura për llogaritjen e shkarkimeve antropogjene të gazeve me efekt serrë dhe përthithjet e tyre që korrespondojnë me kontributet kombëtare të përcaktuara të Palës, në përputhje me vendimin 1/CP.21, paragrafi 31 dhe udhëzimin e llogaritjes së miratuar nga KTM-ja;</w:t>
            </w:r>
          </w:p>
        </w:tc>
        <w:tc>
          <w:tcPr>
            <w:tcW w:w="6115" w:type="dxa"/>
          </w:tcPr>
          <w:p w14:paraId="34C641FB" w14:textId="77777777" w:rsidR="004A7844" w:rsidRPr="00213150" w:rsidRDefault="004A7844" w:rsidP="008D3AB2">
            <w:pPr>
              <w:rPr>
                <w:rFonts w:asciiTheme="majorHAnsi" w:hAnsiTheme="majorHAnsi" w:cstheme="majorHAnsi"/>
              </w:rPr>
            </w:pPr>
            <w:r>
              <w:rPr>
                <w:rFonts w:asciiTheme="majorHAnsi" w:hAnsiTheme="majorHAnsi"/>
              </w:rPr>
              <w:t>Qasja aktuale e Shqipërisë për llogaritjen është në përputhje me metodologjitë dhe parametrat e përbashkët të parashikuar nga PNNK-ja (shihni paragrafin 5(d) më poshtë). Vendi ka përditësuar inventarin e tij për shkarkimin e GES-ve dhe ka kryer rillogaritje për të përmirësuar cilësinë dhe besueshmërinë e vlerësimeve në BTR-në e parë. Janë zbatuar metodologji të qëndrueshme gjatë gjithë periudhës së raportimit (1990–2022).  Për sa i përket llogaritjes së shkarkimeve antropogjene dhe përthithjeve, është ndjekur udhëzimi i paraqitur në shtojcën II të Vendimit 4/KTM.1.</w:t>
            </w:r>
          </w:p>
        </w:tc>
      </w:tr>
      <w:tr w:rsidR="004A7844" w:rsidRPr="00213150" w14:paraId="34C64200" w14:textId="77777777" w:rsidTr="008D3AB2">
        <w:tc>
          <w:tcPr>
            <w:tcW w:w="1317" w:type="dxa"/>
          </w:tcPr>
          <w:p w14:paraId="34C641FD" w14:textId="77777777" w:rsidR="004A7844" w:rsidRPr="00213150" w:rsidRDefault="004A7844" w:rsidP="008D3AB2">
            <w:pPr>
              <w:rPr>
                <w:rFonts w:asciiTheme="majorHAnsi" w:hAnsiTheme="majorHAnsi" w:cstheme="majorHAnsi"/>
              </w:rPr>
            </w:pPr>
            <w:r>
              <w:rPr>
                <w:rFonts w:asciiTheme="majorHAnsi" w:hAnsiTheme="majorHAnsi"/>
              </w:rPr>
              <w:t>5(b)</w:t>
            </w:r>
          </w:p>
        </w:tc>
        <w:tc>
          <w:tcPr>
            <w:tcW w:w="5518" w:type="dxa"/>
          </w:tcPr>
          <w:p w14:paraId="34C641FE" w14:textId="77777777" w:rsidR="004A7844" w:rsidRPr="00213150" w:rsidRDefault="004A7844" w:rsidP="008D3AB2">
            <w:pPr>
              <w:rPr>
                <w:rFonts w:asciiTheme="majorHAnsi" w:hAnsiTheme="majorHAnsi" w:cstheme="majorHAnsi"/>
              </w:rPr>
            </w:pPr>
            <w:r>
              <w:rPr>
                <w:rFonts w:asciiTheme="majorHAnsi" w:hAnsiTheme="majorHAnsi"/>
              </w:rPr>
              <w:t>Supozimet dhe qasjet metodologjike të përdorura për llogaritjen e zbatimit të politikave dhe masave ose strategjive në kontributin kombëtar të përcaktuar;</w:t>
            </w:r>
          </w:p>
        </w:tc>
        <w:tc>
          <w:tcPr>
            <w:tcW w:w="6115" w:type="dxa"/>
          </w:tcPr>
          <w:p w14:paraId="34C641FF" w14:textId="77777777" w:rsidR="004A7844" w:rsidRPr="00213150" w:rsidRDefault="004A7844" w:rsidP="008D3AB2">
            <w:pPr>
              <w:rPr>
                <w:rFonts w:asciiTheme="majorHAnsi" w:hAnsiTheme="majorHAnsi" w:cstheme="majorHAnsi"/>
              </w:rPr>
            </w:pPr>
            <w:r>
              <w:rPr>
                <w:rFonts w:asciiTheme="majorHAnsi" w:hAnsiTheme="majorHAnsi"/>
              </w:rPr>
              <w:t>Nuk aplikohet. KKP-ja e Shqipërisë përbën një kufizim absolut në mbarë ekonominë të shkarkimeve të gazeve me efekt serrë.</w:t>
            </w:r>
          </w:p>
        </w:tc>
      </w:tr>
      <w:tr w:rsidR="004A7844" w:rsidRPr="00213150" w14:paraId="34C64204" w14:textId="77777777" w:rsidTr="008D3AB2">
        <w:tc>
          <w:tcPr>
            <w:tcW w:w="1317" w:type="dxa"/>
          </w:tcPr>
          <w:p w14:paraId="34C64201" w14:textId="77777777" w:rsidR="004A7844" w:rsidRPr="00213150" w:rsidRDefault="004A7844" w:rsidP="008D3AB2">
            <w:pPr>
              <w:rPr>
                <w:rFonts w:asciiTheme="majorHAnsi" w:hAnsiTheme="majorHAnsi" w:cstheme="majorHAnsi"/>
              </w:rPr>
            </w:pPr>
            <w:r>
              <w:rPr>
                <w:rFonts w:asciiTheme="majorHAnsi" w:hAnsiTheme="majorHAnsi"/>
              </w:rPr>
              <w:lastRenderedPageBreak/>
              <w:t>5(c)</w:t>
            </w:r>
          </w:p>
        </w:tc>
        <w:tc>
          <w:tcPr>
            <w:tcW w:w="5518" w:type="dxa"/>
          </w:tcPr>
          <w:p w14:paraId="34C64202" w14:textId="6D025E6C" w:rsidR="004A7844" w:rsidRPr="00213150" w:rsidRDefault="004A7844" w:rsidP="008D3AB2">
            <w:pPr>
              <w:rPr>
                <w:rFonts w:asciiTheme="majorHAnsi" w:hAnsiTheme="majorHAnsi" w:cstheme="majorHAnsi"/>
              </w:rPr>
            </w:pPr>
            <w:r>
              <w:rPr>
                <w:rFonts w:asciiTheme="majorHAnsi" w:hAnsiTheme="majorHAnsi"/>
              </w:rPr>
              <w:t>Nëse është e zbatueshme, informacioni se si Pala do të marrë parasysh metodat dhe udhëzimet ekzistuese sipas Konventës për të llogaritur shkarkimet antropogjene dhe përthithjet, në përputhje me nenin 4, paragrafi 14, të Marrëveshjes së Parisit, sipas rastit</w:t>
            </w:r>
          </w:p>
        </w:tc>
        <w:tc>
          <w:tcPr>
            <w:tcW w:w="6115" w:type="dxa"/>
          </w:tcPr>
          <w:p w14:paraId="34C64203" w14:textId="77777777" w:rsidR="004A7844" w:rsidRPr="00213150" w:rsidRDefault="004A7844" w:rsidP="008D3AB2">
            <w:pPr>
              <w:rPr>
                <w:rFonts w:asciiTheme="majorHAnsi" w:hAnsiTheme="majorHAnsi" w:cstheme="majorHAnsi"/>
              </w:rPr>
            </w:pPr>
            <w:r>
              <w:rPr>
                <w:rFonts w:asciiTheme="majorHAnsi" w:hAnsiTheme="majorHAnsi"/>
              </w:rPr>
              <w:t>Shihni paragrafin 5(d) më poshtë.</w:t>
            </w:r>
          </w:p>
        </w:tc>
      </w:tr>
      <w:tr w:rsidR="004A7844" w:rsidRPr="00213150" w14:paraId="34C6420A" w14:textId="77777777" w:rsidTr="008D3AB2">
        <w:tc>
          <w:tcPr>
            <w:tcW w:w="1317" w:type="dxa"/>
          </w:tcPr>
          <w:p w14:paraId="34C64205" w14:textId="77777777" w:rsidR="004A7844" w:rsidRPr="00213150" w:rsidRDefault="004A7844" w:rsidP="008D3AB2">
            <w:pPr>
              <w:rPr>
                <w:rFonts w:asciiTheme="majorHAnsi" w:hAnsiTheme="majorHAnsi" w:cstheme="majorHAnsi"/>
              </w:rPr>
            </w:pPr>
            <w:r>
              <w:rPr>
                <w:rFonts w:asciiTheme="majorHAnsi" w:hAnsiTheme="majorHAnsi"/>
              </w:rPr>
              <w:t>5(d)</w:t>
            </w:r>
          </w:p>
        </w:tc>
        <w:tc>
          <w:tcPr>
            <w:tcW w:w="5518" w:type="dxa"/>
          </w:tcPr>
          <w:p w14:paraId="34C64206" w14:textId="02AAE2AB" w:rsidR="004A7844" w:rsidRPr="00213150" w:rsidRDefault="004A7844" w:rsidP="008D3AB2">
            <w:pPr>
              <w:rPr>
                <w:rFonts w:asciiTheme="majorHAnsi" w:hAnsiTheme="majorHAnsi" w:cstheme="majorHAnsi"/>
              </w:rPr>
            </w:pPr>
            <w:r>
              <w:rPr>
                <w:rFonts w:asciiTheme="majorHAnsi" w:hAnsiTheme="majorHAnsi"/>
              </w:rPr>
              <w:t>Metodologjitë dhe parametrat e PNNK-së të përdorura për vlerësimin e shkarkimeve antropogjene të gazeve me efekt serrë dhe të përthithjeve.</w:t>
            </w:r>
          </w:p>
          <w:p w14:paraId="34C64207" w14:textId="77777777" w:rsidR="004A7844" w:rsidRPr="00213150" w:rsidRDefault="004A7844" w:rsidP="008D3AB2">
            <w:pPr>
              <w:rPr>
                <w:rFonts w:asciiTheme="majorHAnsi" w:hAnsiTheme="majorHAnsi" w:cstheme="majorHAnsi"/>
              </w:rPr>
            </w:pPr>
          </w:p>
        </w:tc>
        <w:tc>
          <w:tcPr>
            <w:tcW w:w="6115" w:type="dxa"/>
          </w:tcPr>
          <w:p w14:paraId="34C64208" w14:textId="77777777" w:rsidR="004A7844" w:rsidRPr="00213150" w:rsidRDefault="004A7844" w:rsidP="008D3AB2">
            <w:pPr>
              <w:rPr>
                <w:rFonts w:asciiTheme="majorHAnsi" w:hAnsiTheme="majorHAnsi" w:cstheme="majorHAnsi"/>
              </w:rPr>
            </w:pPr>
            <w:r>
              <w:rPr>
                <w:rFonts w:asciiTheme="majorHAnsi" w:hAnsiTheme="majorHAnsi"/>
              </w:rPr>
              <w:t>Metodologjitë: Udhëzimet e PNNK-së 2006.</w:t>
            </w:r>
          </w:p>
          <w:p w14:paraId="34C64209" w14:textId="77777777" w:rsidR="004A7844" w:rsidRPr="00213150" w:rsidRDefault="004A7844" w:rsidP="008D3AB2">
            <w:pPr>
              <w:rPr>
                <w:rFonts w:asciiTheme="majorHAnsi" w:hAnsiTheme="majorHAnsi" w:cstheme="majorHAnsi"/>
              </w:rPr>
            </w:pPr>
            <w:r>
              <w:rPr>
                <w:rFonts w:asciiTheme="majorHAnsi" w:hAnsiTheme="majorHAnsi"/>
              </w:rPr>
              <w:t>Parametrat: Potenciali i Ngrohjes Globale për një interval kohor prej 100 vjetësh në përputhje me Raportin e 5-të të Vlerësimit të PNNK-së.</w:t>
            </w:r>
          </w:p>
        </w:tc>
      </w:tr>
      <w:tr w:rsidR="004A7844" w:rsidRPr="00213150" w14:paraId="34C64213" w14:textId="77777777" w:rsidTr="008D3AB2">
        <w:tc>
          <w:tcPr>
            <w:tcW w:w="1317" w:type="dxa"/>
          </w:tcPr>
          <w:p w14:paraId="34C6420B" w14:textId="77777777" w:rsidR="004A7844" w:rsidRPr="00213150" w:rsidRDefault="004A7844" w:rsidP="008D3AB2">
            <w:pPr>
              <w:rPr>
                <w:rFonts w:asciiTheme="majorHAnsi" w:hAnsiTheme="majorHAnsi" w:cstheme="majorHAnsi"/>
              </w:rPr>
            </w:pPr>
            <w:r>
              <w:rPr>
                <w:rFonts w:asciiTheme="majorHAnsi" w:hAnsiTheme="majorHAnsi"/>
              </w:rPr>
              <w:t>5(e)</w:t>
            </w:r>
          </w:p>
        </w:tc>
        <w:tc>
          <w:tcPr>
            <w:tcW w:w="5518" w:type="dxa"/>
          </w:tcPr>
          <w:p w14:paraId="34C6420C" w14:textId="77777777" w:rsidR="004A7844" w:rsidRPr="00213150" w:rsidRDefault="004A7844" w:rsidP="008D3AB2">
            <w:pPr>
              <w:rPr>
                <w:rFonts w:asciiTheme="majorHAnsi" w:hAnsiTheme="majorHAnsi" w:cstheme="majorHAnsi"/>
              </w:rPr>
            </w:pPr>
            <w:r>
              <w:rPr>
                <w:rFonts w:asciiTheme="majorHAnsi" w:hAnsiTheme="majorHAnsi"/>
              </w:rPr>
              <w:t>Supozimet, metodologjitë dhe qasjet specifike për sektorin, kategorinë ose aktivitetin, në përputhje me udhëzimet e PNNK-së, duke përfshirë, sipas rastit:</w:t>
            </w:r>
          </w:p>
          <w:p w14:paraId="34C6420D" w14:textId="548543A7" w:rsidR="004A7844" w:rsidRPr="00213150" w:rsidRDefault="004A7844" w:rsidP="008D3AB2">
            <w:pPr>
              <w:rPr>
                <w:rFonts w:asciiTheme="majorHAnsi" w:hAnsiTheme="majorHAnsi" w:cstheme="majorHAnsi"/>
              </w:rPr>
            </w:pPr>
            <w:r>
              <w:rPr>
                <w:rFonts w:asciiTheme="majorHAnsi" w:hAnsiTheme="majorHAnsi"/>
              </w:rPr>
              <w:t>i. Qasjen për adresimin e shkarkimeve dhe përthithjen e tyre nga interferimi në natyrën e tokave të menaxhuara.</w:t>
            </w:r>
          </w:p>
          <w:p w14:paraId="34C6420E" w14:textId="10F7E47E" w:rsidR="004A7844" w:rsidRPr="00213150" w:rsidRDefault="004A7844" w:rsidP="008D3AB2">
            <w:pPr>
              <w:rPr>
                <w:rFonts w:asciiTheme="majorHAnsi" w:hAnsiTheme="majorHAnsi" w:cstheme="majorHAnsi"/>
              </w:rPr>
            </w:pPr>
            <w:r>
              <w:rPr>
                <w:rFonts w:asciiTheme="majorHAnsi" w:hAnsiTheme="majorHAnsi"/>
              </w:rPr>
              <w:t>ii. Qasjen e përdorur për të llogaritur shkarkimet dhe përthithjet nga produktet e vjela të drurit (PVD).</w:t>
            </w:r>
          </w:p>
          <w:p w14:paraId="34C6420F" w14:textId="77777777" w:rsidR="004A7844" w:rsidRPr="00213150" w:rsidRDefault="004A7844" w:rsidP="008D3AB2">
            <w:pPr>
              <w:rPr>
                <w:rFonts w:asciiTheme="majorHAnsi" w:hAnsiTheme="majorHAnsi" w:cstheme="majorHAnsi"/>
              </w:rPr>
            </w:pPr>
            <w:r>
              <w:rPr>
                <w:rFonts w:asciiTheme="majorHAnsi" w:hAnsiTheme="majorHAnsi"/>
              </w:rPr>
              <w:t>iii. Qasjen e përdorur për të trajtuar efektet e strukturës moshore në pyje;</w:t>
            </w:r>
          </w:p>
        </w:tc>
        <w:tc>
          <w:tcPr>
            <w:tcW w:w="6115" w:type="dxa"/>
          </w:tcPr>
          <w:p w14:paraId="34C64210" w14:textId="77777777" w:rsidR="004A7844" w:rsidRPr="00213150" w:rsidRDefault="004A7844" w:rsidP="008D3AB2">
            <w:pPr>
              <w:pStyle w:val="ListParagraph"/>
              <w:numPr>
                <w:ilvl w:val="0"/>
                <w:numId w:val="7"/>
              </w:numPr>
              <w:spacing w:before="0"/>
              <w:jc w:val="left"/>
              <w:rPr>
                <w:rFonts w:asciiTheme="majorHAnsi" w:hAnsiTheme="majorHAnsi" w:cstheme="majorHAnsi"/>
              </w:rPr>
            </w:pPr>
            <w:r>
              <w:rPr>
                <w:rFonts w:asciiTheme="majorHAnsi" w:hAnsiTheme="majorHAnsi"/>
              </w:rPr>
              <w:t>Interferimet në natyrë llogariten në inventar dhe në llogaritjen e projeksioneve për KKP-në. Zjarret në pyje janë të vetmet interferime (shqetësime) të marra në konsideratë dhe nuk përjashtohen nga totali i shkarkimeve në PPTT. Për projeksionet, përdoret një nivel bazë shkarkimesh (me përjashtim të episodeve të jashtëzakonshme), pasi episodet e jashtëzakonshme nuk mund të parashikohen.</w:t>
            </w:r>
          </w:p>
          <w:p w14:paraId="34C64211" w14:textId="77777777" w:rsidR="004A7844" w:rsidRPr="00213150" w:rsidRDefault="004A7844" w:rsidP="008D3AB2">
            <w:pPr>
              <w:pStyle w:val="ListParagraph"/>
              <w:numPr>
                <w:ilvl w:val="0"/>
                <w:numId w:val="7"/>
              </w:numPr>
              <w:spacing w:before="0"/>
              <w:jc w:val="left"/>
              <w:rPr>
                <w:rFonts w:asciiTheme="majorHAnsi" w:hAnsiTheme="majorHAnsi" w:cstheme="majorHAnsi"/>
              </w:rPr>
            </w:pPr>
            <w:r>
              <w:rPr>
                <w:rFonts w:asciiTheme="majorHAnsi" w:hAnsiTheme="majorHAnsi"/>
              </w:rPr>
              <w:t>PVD-të nuk janë llogaritur ende në inventarin kombëtar, por zbatohet supozimi i oksidimit të menjëhershëm. E njëjta gjë është bërë në KKP për të qenë konsistentë. Inventarët e ardhshëm do të konsiderojnë nëse mund të përmirësohet llogaritja e PVD-ve.</w:t>
            </w:r>
          </w:p>
          <w:p w14:paraId="34C64212" w14:textId="77777777" w:rsidR="004A7844" w:rsidRPr="00213150" w:rsidRDefault="004A7844" w:rsidP="008D3AB2">
            <w:pPr>
              <w:pStyle w:val="ListParagraph"/>
              <w:numPr>
                <w:ilvl w:val="0"/>
                <w:numId w:val="7"/>
              </w:numPr>
              <w:spacing w:before="0"/>
              <w:jc w:val="left"/>
              <w:rPr>
                <w:rFonts w:asciiTheme="majorHAnsi" w:hAnsiTheme="majorHAnsi" w:cstheme="majorHAnsi"/>
              </w:rPr>
            </w:pPr>
            <w:r>
              <w:rPr>
                <w:rFonts w:asciiTheme="majorHAnsi" w:hAnsiTheme="majorHAnsi"/>
              </w:rPr>
              <w:lastRenderedPageBreak/>
              <w:t>Nuk është aplikuar asnjë modelim specifik i biomasës pyjore. Projeksioni bazohet në parametrat (shkalla e rritjes, humbjet) e përdorura në inventar.</w:t>
            </w:r>
          </w:p>
        </w:tc>
      </w:tr>
      <w:tr w:rsidR="004A7844" w:rsidRPr="00213150" w14:paraId="34C6421F" w14:textId="77777777" w:rsidTr="008D3AB2">
        <w:tc>
          <w:tcPr>
            <w:tcW w:w="1317" w:type="dxa"/>
          </w:tcPr>
          <w:p w14:paraId="34C64214" w14:textId="77777777" w:rsidR="004A7844" w:rsidRPr="00213150" w:rsidRDefault="004A7844" w:rsidP="008D3AB2">
            <w:pPr>
              <w:rPr>
                <w:rFonts w:asciiTheme="majorHAnsi" w:hAnsiTheme="majorHAnsi" w:cstheme="majorHAnsi"/>
              </w:rPr>
            </w:pPr>
            <w:r>
              <w:rPr>
                <w:rFonts w:asciiTheme="majorHAnsi" w:hAnsiTheme="majorHAnsi"/>
              </w:rPr>
              <w:lastRenderedPageBreak/>
              <w:t>5(f)</w:t>
            </w:r>
          </w:p>
        </w:tc>
        <w:tc>
          <w:tcPr>
            <w:tcW w:w="5518" w:type="dxa"/>
          </w:tcPr>
          <w:p w14:paraId="34C64215" w14:textId="77777777" w:rsidR="004A7844" w:rsidRPr="00213150" w:rsidRDefault="004A7844" w:rsidP="008D3AB2">
            <w:pPr>
              <w:rPr>
                <w:rFonts w:asciiTheme="majorHAnsi" w:hAnsiTheme="majorHAnsi" w:cstheme="majorHAnsi"/>
              </w:rPr>
            </w:pPr>
            <w:r>
              <w:rPr>
                <w:rFonts w:asciiTheme="majorHAnsi" w:hAnsiTheme="majorHAnsi"/>
              </w:rPr>
              <w:t>Supozimet dhe qasjet e tjera metodologjike të përdorura për të kuptuar kontributin kombëtar të përcaktuar dhe, nëse është e zbatueshme, për të vlerësuar shkarkimet dhe përthithjet përkatëse, duke përfshirë:</w:t>
            </w:r>
          </w:p>
          <w:p w14:paraId="34C64216" w14:textId="17810111" w:rsidR="004A7844" w:rsidRPr="00213150" w:rsidRDefault="004A7844" w:rsidP="008D3AB2">
            <w:pPr>
              <w:rPr>
                <w:rFonts w:asciiTheme="majorHAnsi" w:hAnsiTheme="majorHAnsi" w:cstheme="majorHAnsi"/>
              </w:rPr>
            </w:pPr>
            <w:r>
              <w:rPr>
                <w:rFonts w:asciiTheme="majorHAnsi" w:hAnsiTheme="majorHAnsi"/>
              </w:rPr>
              <w:t>i. Mënyrën si ndërtohen treguesit e referencës, nivel(et) bazë dhe/ose niveli(et) e referencës, duke përfshirë, sipas rastit, nivelet e referencës - specifike të sektorit, kategorisë ose aktivitetit, duke përfshirë, për shembull, parametrat kryesorë, supozimet, përkufizimet, metodologjitë, burimet e të dhënave dhe modelet e përdorura.</w:t>
            </w:r>
          </w:p>
          <w:p w14:paraId="34C64217" w14:textId="253B76E4" w:rsidR="004A7844" w:rsidRPr="00213150" w:rsidRDefault="004A7844" w:rsidP="008D3AB2">
            <w:pPr>
              <w:rPr>
                <w:rFonts w:asciiTheme="majorHAnsi" w:hAnsiTheme="majorHAnsi" w:cstheme="majorHAnsi"/>
              </w:rPr>
            </w:pPr>
            <w:r>
              <w:rPr>
                <w:rFonts w:asciiTheme="majorHAnsi" w:hAnsiTheme="majorHAnsi"/>
              </w:rPr>
              <w:t>ii. Për Palët me kontribute kombëtare të përcaktuara që përmbajnë komponentë jo të gazeve serrë, informacion mbi supozimet dhe qasjet metodologjike të përdorura në lidhje me ato komponentë, sipas rastit.</w:t>
            </w:r>
          </w:p>
          <w:p w14:paraId="34C64218" w14:textId="22FC3920" w:rsidR="004A7844" w:rsidRPr="00213150" w:rsidRDefault="004A7844" w:rsidP="008D3AB2">
            <w:pPr>
              <w:rPr>
                <w:rFonts w:asciiTheme="majorHAnsi" w:hAnsiTheme="majorHAnsi" w:cstheme="majorHAnsi"/>
              </w:rPr>
            </w:pPr>
            <w:r>
              <w:rPr>
                <w:rFonts w:asciiTheme="majorHAnsi" w:hAnsiTheme="majorHAnsi"/>
              </w:rPr>
              <w:t>iii. Për sforcuesit e klimës të përfshirë në kontributet kombëtare të përcaktuara që nuk mbulohen nga udhëzimet e PNNK-së, informacion mbi mënyrën se si vlerësohen sforcuesit e klimës.</w:t>
            </w:r>
          </w:p>
          <w:p w14:paraId="34C64219" w14:textId="77777777" w:rsidR="004A7844" w:rsidRPr="00213150" w:rsidRDefault="004A7844" w:rsidP="008D3AB2">
            <w:pPr>
              <w:rPr>
                <w:rFonts w:asciiTheme="majorHAnsi" w:hAnsiTheme="majorHAnsi" w:cstheme="majorHAnsi"/>
              </w:rPr>
            </w:pPr>
            <w:r>
              <w:rPr>
                <w:rFonts w:asciiTheme="majorHAnsi" w:hAnsiTheme="majorHAnsi"/>
              </w:rPr>
              <w:t>iv. Informacione të mëtejshme teknike, sipas nevojës;</w:t>
            </w:r>
          </w:p>
        </w:tc>
        <w:tc>
          <w:tcPr>
            <w:tcW w:w="6115" w:type="dxa"/>
          </w:tcPr>
          <w:p w14:paraId="34C6421A" w14:textId="77777777" w:rsidR="004A7844" w:rsidRPr="00617FB5" w:rsidRDefault="004A7844" w:rsidP="008D3AB2">
            <w:pPr>
              <w:pStyle w:val="ListParagraph"/>
              <w:numPr>
                <w:ilvl w:val="0"/>
                <w:numId w:val="8"/>
              </w:numPr>
              <w:spacing w:before="0"/>
              <w:jc w:val="left"/>
              <w:rPr>
                <w:rFonts w:asciiTheme="majorHAnsi" w:hAnsiTheme="majorHAnsi" w:cstheme="majorHAnsi"/>
              </w:rPr>
            </w:pPr>
            <w:r>
              <w:rPr>
                <w:rFonts w:asciiTheme="majorHAnsi" w:hAnsiTheme="majorHAnsi"/>
              </w:rPr>
              <w:t>Monitorimi i KKP-së bazohet në shkarkimet e GES-ve të raportuara në Raportet Dyvjeçare të Transparencës (BTR), të vlerësuara në përputhje me Udhëzimet e PNNK-së 2006 për Inventarët Kombëtarë të Gazeve me Efekt Serrë. Dokumenti i Inventarit Kombëtar (DIK), i cili është pjesë e BTR-ve, ofron informacion të detajuar mbi vlerësimin e shkarkimeve të GES-ve.</w:t>
            </w:r>
          </w:p>
          <w:p w14:paraId="34C6421B" w14:textId="77777777" w:rsidR="004A7844" w:rsidRPr="00213150" w:rsidRDefault="004A7844" w:rsidP="008D3AB2">
            <w:pPr>
              <w:pStyle w:val="ListParagraph"/>
              <w:numPr>
                <w:ilvl w:val="0"/>
                <w:numId w:val="8"/>
              </w:numPr>
              <w:spacing w:before="0"/>
              <w:jc w:val="left"/>
              <w:rPr>
                <w:rFonts w:asciiTheme="majorHAnsi" w:hAnsiTheme="majorHAnsi" w:cstheme="majorHAnsi"/>
              </w:rPr>
            </w:pPr>
            <w:r>
              <w:rPr>
                <w:rFonts w:asciiTheme="majorHAnsi" w:hAnsiTheme="majorHAnsi"/>
              </w:rPr>
              <w:t>Nuk aplikohet. KKP-ja e Shqipërisë përbën një objektiv absolut në mbarë ekonominë për shkarkimet e gazeve me efekt serrë.</w:t>
            </w:r>
          </w:p>
          <w:p w14:paraId="34C6421C" w14:textId="77777777" w:rsidR="004A7844" w:rsidRPr="00213150" w:rsidRDefault="004A7844" w:rsidP="008D3AB2">
            <w:pPr>
              <w:pStyle w:val="ListParagraph"/>
              <w:numPr>
                <w:ilvl w:val="0"/>
                <w:numId w:val="8"/>
              </w:numPr>
              <w:spacing w:before="0"/>
              <w:jc w:val="left"/>
              <w:rPr>
                <w:rFonts w:asciiTheme="majorHAnsi" w:hAnsiTheme="majorHAnsi" w:cstheme="majorHAnsi"/>
              </w:rPr>
            </w:pPr>
            <w:r>
              <w:rPr>
                <w:rFonts w:asciiTheme="majorHAnsi" w:hAnsiTheme="majorHAnsi"/>
              </w:rPr>
              <w:t>Nuk aplikohet. KKP-ja e Shqipërisë përfshin vetëm sforcuesit që mbulohen nga udhëzimet e PNNK-së.</w:t>
            </w:r>
          </w:p>
          <w:p w14:paraId="34C6421D" w14:textId="77777777" w:rsidR="004A7844" w:rsidRPr="00213150" w:rsidRDefault="004A7844" w:rsidP="008D3AB2">
            <w:pPr>
              <w:pStyle w:val="ListParagraph"/>
              <w:numPr>
                <w:ilvl w:val="0"/>
                <w:numId w:val="8"/>
              </w:numPr>
              <w:spacing w:before="0"/>
              <w:jc w:val="left"/>
              <w:rPr>
                <w:rFonts w:asciiTheme="majorHAnsi" w:hAnsiTheme="majorHAnsi" w:cstheme="majorHAnsi"/>
              </w:rPr>
            </w:pPr>
            <w:r>
              <w:rPr>
                <w:rFonts w:asciiTheme="majorHAnsi" w:hAnsiTheme="majorHAnsi"/>
              </w:rPr>
              <w:t>Nuk aplikohet.</w:t>
            </w:r>
          </w:p>
          <w:p w14:paraId="34C6421E" w14:textId="77777777" w:rsidR="004A7844" w:rsidRPr="00213150" w:rsidRDefault="004A7844" w:rsidP="008D3AB2">
            <w:pPr>
              <w:rPr>
                <w:rFonts w:asciiTheme="majorHAnsi" w:hAnsiTheme="majorHAnsi" w:cstheme="majorHAnsi"/>
              </w:rPr>
            </w:pPr>
          </w:p>
        </w:tc>
      </w:tr>
      <w:tr w:rsidR="004A7844" w:rsidRPr="00213150" w14:paraId="34C64225" w14:textId="77777777" w:rsidTr="008D3AB2">
        <w:tc>
          <w:tcPr>
            <w:tcW w:w="1317" w:type="dxa"/>
          </w:tcPr>
          <w:p w14:paraId="34C64220" w14:textId="77777777" w:rsidR="004A7844" w:rsidRPr="00213150" w:rsidRDefault="004A7844" w:rsidP="008D3AB2">
            <w:pPr>
              <w:rPr>
                <w:rFonts w:asciiTheme="majorHAnsi" w:hAnsiTheme="majorHAnsi" w:cstheme="majorHAnsi"/>
              </w:rPr>
            </w:pPr>
            <w:r>
              <w:rPr>
                <w:rFonts w:asciiTheme="majorHAnsi" w:hAnsiTheme="majorHAnsi"/>
              </w:rPr>
              <w:lastRenderedPageBreak/>
              <w:t>5(g)</w:t>
            </w:r>
          </w:p>
        </w:tc>
        <w:tc>
          <w:tcPr>
            <w:tcW w:w="5518" w:type="dxa"/>
          </w:tcPr>
          <w:p w14:paraId="34C64221" w14:textId="77777777" w:rsidR="004A7844" w:rsidRPr="001D1063" w:rsidRDefault="004A7844" w:rsidP="008D3AB2">
            <w:pPr>
              <w:rPr>
                <w:rFonts w:asciiTheme="majorHAnsi" w:hAnsiTheme="majorHAnsi" w:cstheme="majorHAnsi"/>
              </w:rPr>
            </w:pPr>
            <w:r>
              <w:rPr>
                <w:rFonts w:asciiTheme="majorHAnsi" w:hAnsiTheme="majorHAnsi"/>
              </w:rPr>
              <w:t>Synimi për të përdorur bashkëpunimin vullnetar sipas nenit 6 të Marrëveshjes së Parisit, sipas rastit.</w:t>
            </w:r>
          </w:p>
        </w:tc>
        <w:tc>
          <w:tcPr>
            <w:tcW w:w="6115" w:type="dxa"/>
          </w:tcPr>
          <w:p w14:paraId="34C64222" w14:textId="77777777" w:rsidR="004A7844" w:rsidRPr="001D1063" w:rsidRDefault="004A7844" w:rsidP="008D3AB2">
            <w:pPr>
              <w:rPr>
                <w:rFonts w:asciiTheme="majorHAnsi" w:hAnsiTheme="majorHAnsi" w:cstheme="majorHAnsi"/>
              </w:rPr>
            </w:pPr>
            <w:r>
              <w:rPr>
                <w:rFonts w:asciiTheme="majorHAnsi" w:hAnsiTheme="majorHAnsi"/>
              </w:rPr>
              <w:t>Objektivi i KKP-së duhet të arrihet vetëm përmes masave të brendshme, pa kontribut nga kreditet ndërkombëtare.</w:t>
            </w:r>
          </w:p>
          <w:p w14:paraId="34C64223" w14:textId="77777777" w:rsidR="004A7844" w:rsidRPr="001D1063" w:rsidRDefault="004A7844" w:rsidP="008D3AB2">
            <w:pPr>
              <w:rPr>
                <w:rFonts w:asciiTheme="majorHAnsi" w:hAnsiTheme="majorHAnsi" w:cstheme="majorHAnsi"/>
              </w:rPr>
            </w:pPr>
            <w:r>
              <w:rPr>
                <w:rFonts w:asciiTheme="majorHAnsi" w:hAnsiTheme="majorHAnsi"/>
              </w:rPr>
              <w:t>Shqipëria synon të përdorë bashkëpunimin vullnetar sipas nenit 6 të Marrëveshjes së Parisit dhe të shesë kreditet e karbonit gjatë periudhës deri në vitin 2035, për të kontribuar në zbatimin me kosto efikase të trajektores së zhvillimit me shkarkime të ulëta dhe zhvillimit të saj të qëndrueshëm. Shqipëria parashikon që përdorimi i mekanizmit të tregut ndërkombëtar kushtëzohet nga vendosja e rregullave efikase të llogaritjes të zhvilluara në kuadër të KKKBNK-së për të garantuar integritetin mjedisor të mekanizmave.</w:t>
            </w:r>
          </w:p>
          <w:p w14:paraId="34C64224" w14:textId="77777777" w:rsidR="004A7844" w:rsidRPr="001D1063" w:rsidRDefault="004A7844" w:rsidP="008D3AB2">
            <w:pPr>
              <w:rPr>
                <w:rFonts w:asciiTheme="majorHAnsi" w:hAnsiTheme="majorHAnsi" w:cstheme="majorHAnsi"/>
              </w:rPr>
            </w:pPr>
            <w:r>
              <w:rPr>
                <w:rFonts w:asciiTheme="majorHAnsi" w:hAnsiTheme="majorHAnsi"/>
              </w:rPr>
              <w:t>Zhvillimi i një Sistemi për Tregtimin e Shkarkimeve (ETS) në të ardhmen, në përputhje me standardet e BE-së, është aktualisht në fazën e planifikimit, dhe synimi është mundësimi i lidhjes potenciale në të ardhmen me ETS-në e BE-së.</w:t>
            </w:r>
          </w:p>
        </w:tc>
      </w:tr>
      <w:tr w:rsidR="004A7844" w:rsidRPr="00213150" w14:paraId="34C64228" w14:textId="77777777" w:rsidTr="008D3AB2">
        <w:tc>
          <w:tcPr>
            <w:tcW w:w="1317" w:type="dxa"/>
          </w:tcPr>
          <w:p w14:paraId="34C64226" w14:textId="77777777" w:rsidR="004A7844" w:rsidRPr="00213150" w:rsidRDefault="004A7844" w:rsidP="008D3AB2">
            <w:pPr>
              <w:rPr>
                <w:rFonts w:asciiTheme="majorHAnsi" w:hAnsiTheme="majorHAnsi" w:cstheme="majorHAnsi"/>
                <w:b/>
                <w:bCs/>
              </w:rPr>
            </w:pPr>
            <w:r>
              <w:rPr>
                <w:rFonts w:asciiTheme="majorHAnsi" w:hAnsiTheme="majorHAnsi"/>
                <w:b/>
                <w:bCs/>
              </w:rPr>
              <w:t>6</w:t>
            </w:r>
          </w:p>
        </w:tc>
        <w:tc>
          <w:tcPr>
            <w:tcW w:w="11633" w:type="dxa"/>
            <w:gridSpan w:val="2"/>
          </w:tcPr>
          <w:p w14:paraId="34C64227" w14:textId="77777777" w:rsidR="004A7844" w:rsidRPr="00213150" w:rsidRDefault="004A7844" w:rsidP="008D3AB2">
            <w:pPr>
              <w:rPr>
                <w:rFonts w:asciiTheme="majorHAnsi" w:hAnsiTheme="majorHAnsi" w:cstheme="majorHAnsi"/>
                <w:b/>
                <w:bCs/>
              </w:rPr>
            </w:pPr>
            <w:r>
              <w:rPr>
                <w:rFonts w:asciiTheme="majorHAnsi" w:hAnsiTheme="majorHAnsi"/>
                <w:b/>
                <w:bCs/>
              </w:rPr>
              <w:t>Mënyra se si Pala e konsideron që dokumenti i saj i KKP-së është i drejtë dhe ambicioz në kuadrin e rrethanave të saj kombëtare</w:t>
            </w:r>
          </w:p>
        </w:tc>
      </w:tr>
      <w:tr w:rsidR="004A7844" w:rsidRPr="00213150" w14:paraId="34C6422C" w14:textId="77777777" w:rsidTr="008D3AB2">
        <w:tc>
          <w:tcPr>
            <w:tcW w:w="1317" w:type="dxa"/>
          </w:tcPr>
          <w:p w14:paraId="34C64229" w14:textId="77777777" w:rsidR="004A7844" w:rsidRPr="00213150" w:rsidRDefault="004A7844" w:rsidP="008D3AB2">
            <w:pPr>
              <w:rPr>
                <w:rFonts w:asciiTheme="majorHAnsi" w:hAnsiTheme="majorHAnsi" w:cstheme="majorHAnsi"/>
              </w:rPr>
            </w:pPr>
            <w:r>
              <w:rPr>
                <w:rFonts w:asciiTheme="majorHAnsi" w:hAnsiTheme="majorHAnsi"/>
              </w:rPr>
              <w:t>6(a)</w:t>
            </w:r>
          </w:p>
        </w:tc>
        <w:tc>
          <w:tcPr>
            <w:tcW w:w="5518" w:type="dxa"/>
          </w:tcPr>
          <w:p w14:paraId="34C6422A" w14:textId="77777777" w:rsidR="004A7844" w:rsidRPr="00213150" w:rsidRDefault="004A7844" w:rsidP="008D3AB2">
            <w:pPr>
              <w:rPr>
                <w:rFonts w:asciiTheme="majorHAnsi" w:hAnsiTheme="majorHAnsi" w:cstheme="majorHAnsi"/>
              </w:rPr>
            </w:pPr>
            <w:r>
              <w:rPr>
                <w:rFonts w:asciiTheme="majorHAnsi" w:hAnsiTheme="majorHAnsi"/>
              </w:rPr>
              <w:t>Mënyra se si Pala e konsideron që dokumenti i saj i KKP-së është i drejtë dhe ambicioz në kuadrin e rrethanave të saj kombëtare;</w:t>
            </w:r>
          </w:p>
        </w:tc>
        <w:tc>
          <w:tcPr>
            <w:tcW w:w="6115" w:type="dxa"/>
          </w:tcPr>
          <w:p w14:paraId="34C6422B" w14:textId="3E8EB92D" w:rsidR="004A7844" w:rsidRPr="00213150" w:rsidRDefault="004A7844" w:rsidP="008D3AB2">
            <w:pPr>
              <w:rPr>
                <w:rFonts w:asciiTheme="majorHAnsi" w:hAnsiTheme="majorHAnsi" w:cstheme="majorHAnsi"/>
              </w:rPr>
            </w:pPr>
            <w:r>
              <w:rPr>
                <w:rFonts w:asciiTheme="majorHAnsi" w:hAnsiTheme="majorHAnsi"/>
              </w:rPr>
              <w:t xml:space="preserve">Shqipëria e konsideron dokumentin e saj të përditësuar të Kontributit Kombëtar të Përcaktuar (KKP 3.0) si të drejtë dhe ambicioz duke marrë parasysh rrethanat e saj kombëtare. KKP-ja e përditësuar përfaqëson një progres të qartë nga objektivi i mëparshëm, duke rritur nivelin e ambicies përmes caktimit të një objektivi më të rreptë për zbutjen brenda vitit 2030: kufizimi i shkarkimeve të GES-ve nën 10 210 ktCO₂eq, krahasuar me objektivin e mëparshëm me 11 978 ktCO₂eq. Kjo përkthehet si kufizim i rritjes së </w:t>
            </w:r>
            <w:r>
              <w:rPr>
                <w:rFonts w:asciiTheme="majorHAnsi" w:hAnsiTheme="majorHAnsi"/>
              </w:rPr>
              <w:lastRenderedPageBreak/>
              <w:t>shkarkimeve me 30,3% mbi nivelet e vitit 1990, pavarësisht shkarkimeve për frymë të vendit (3,5 Mg CO₂eq) të cilat mbeten ndjeshëm më të ulëta se mesatarja e BE-27 (8,4 Mg CO₂eq). KKP-ja përfshin mbarë ekonominë, duke mbuluar të gjitha shkarkimet e GES-ve në nivel kombëtar pa u mbështetur në kreditet ndërkombëtare, si dhe përfshin masa të përmirësuara të përshtatjes. Shqipëria po punon gjithashtu drejt neutralitetit klimatik brenda vitit 2050, siç nënvizohet në Planin e saj Kombëtar të Energjisë dhe Klimës (PKEK), si dhe po bën investime strategjike për të rritur përqindjen e energjisë së saj të rinovueshme, duke u mbështetur në bazën e saj të konsoliduar hidroenergjetike dhe duke zgjeruar kapacitetet e energjinë diellore, eolike dhe të biomasës. Për më tepër, vendi po zbaton në mënyrë aktive praktika të qëndrueshme rreth përdorimit të tokës dhe nisma pyllëzimi për të ruajtur dhe përmirësuar përthithjen e karbonit. Arritja e objektivit të KKP-së së përditësuar do të kërkojë investime të konsiderueshme, duke theksuar angazhimin e Shqipërisë drejt një tranzicioni më të drejtë e ambicioz në përputhje me prioritetet dhe kapacitetet e saj të zhvillimit.</w:t>
            </w:r>
          </w:p>
        </w:tc>
      </w:tr>
      <w:tr w:rsidR="004A7844" w:rsidRPr="00213150" w14:paraId="34C64230" w14:textId="77777777" w:rsidTr="008D3AB2">
        <w:tc>
          <w:tcPr>
            <w:tcW w:w="1317" w:type="dxa"/>
          </w:tcPr>
          <w:p w14:paraId="34C6422D" w14:textId="77777777" w:rsidR="004A7844" w:rsidRPr="00213150" w:rsidRDefault="004A7844" w:rsidP="008D3AB2">
            <w:pPr>
              <w:rPr>
                <w:rFonts w:asciiTheme="majorHAnsi" w:hAnsiTheme="majorHAnsi" w:cstheme="majorHAnsi"/>
              </w:rPr>
            </w:pPr>
            <w:r>
              <w:rPr>
                <w:rFonts w:asciiTheme="majorHAnsi" w:hAnsiTheme="majorHAnsi"/>
              </w:rPr>
              <w:lastRenderedPageBreak/>
              <w:t>6(b)</w:t>
            </w:r>
          </w:p>
        </w:tc>
        <w:tc>
          <w:tcPr>
            <w:tcW w:w="5518" w:type="dxa"/>
          </w:tcPr>
          <w:p w14:paraId="34C6422E" w14:textId="77777777" w:rsidR="004A7844" w:rsidRPr="00213150" w:rsidRDefault="004A7844" w:rsidP="008D3AB2">
            <w:pPr>
              <w:rPr>
                <w:rFonts w:asciiTheme="majorHAnsi" w:hAnsiTheme="majorHAnsi" w:cstheme="majorHAnsi"/>
              </w:rPr>
            </w:pPr>
            <w:r>
              <w:rPr>
                <w:rFonts w:asciiTheme="majorHAnsi" w:hAnsiTheme="majorHAnsi"/>
              </w:rPr>
              <w:t>Aspektet e drejtësisë, duke përfshirë reflektimin mbi barazinë;</w:t>
            </w:r>
          </w:p>
        </w:tc>
        <w:tc>
          <w:tcPr>
            <w:tcW w:w="6115" w:type="dxa"/>
          </w:tcPr>
          <w:p w14:paraId="34C6422F" w14:textId="77777777" w:rsidR="004A7844" w:rsidRPr="00213150" w:rsidRDefault="004A7844" w:rsidP="008D3AB2">
            <w:pPr>
              <w:rPr>
                <w:rFonts w:asciiTheme="majorHAnsi" w:hAnsiTheme="majorHAnsi" w:cstheme="majorHAnsi"/>
              </w:rPr>
            </w:pPr>
            <w:r>
              <w:rPr>
                <w:rFonts w:asciiTheme="majorHAnsi" w:hAnsiTheme="majorHAnsi"/>
              </w:rPr>
              <w:t>Referojuni paragrafit 6(a)</w:t>
            </w:r>
          </w:p>
        </w:tc>
      </w:tr>
      <w:tr w:rsidR="004A7844" w:rsidRPr="00213150" w14:paraId="34C64234" w14:textId="77777777" w:rsidTr="008D3AB2">
        <w:tc>
          <w:tcPr>
            <w:tcW w:w="1317" w:type="dxa"/>
          </w:tcPr>
          <w:p w14:paraId="34C64231" w14:textId="77777777" w:rsidR="004A7844" w:rsidRPr="00213150" w:rsidRDefault="004A7844" w:rsidP="008D3AB2">
            <w:pPr>
              <w:rPr>
                <w:rFonts w:asciiTheme="majorHAnsi" w:hAnsiTheme="majorHAnsi" w:cstheme="majorHAnsi"/>
              </w:rPr>
            </w:pPr>
            <w:r>
              <w:rPr>
                <w:rFonts w:asciiTheme="majorHAnsi" w:hAnsiTheme="majorHAnsi"/>
              </w:rPr>
              <w:t>6(c)</w:t>
            </w:r>
          </w:p>
        </w:tc>
        <w:tc>
          <w:tcPr>
            <w:tcW w:w="5518" w:type="dxa"/>
          </w:tcPr>
          <w:p w14:paraId="34C64232" w14:textId="77777777" w:rsidR="004A7844" w:rsidRPr="00213150" w:rsidRDefault="004A7844" w:rsidP="008D3AB2">
            <w:pPr>
              <w:rPr>
                <w:rFonts w:asciiTheme="majorHAnsi" w:hAnsiTheme="majorHAnsi" w:cstheme="majorHAnsi"/>
              </w:rPr>
            </w:pPr>
            <w:r>
              <w:rPr>
                <w:rFonts w:asciiTheme="majorHAnsi" w:hAnsiTheme="majorHAnsi"/>
              </w:rPr>
              <w:t>Mënyra si e ka trajtuar Pala nenin 4, paragrafi 3 të Marrëveshjes së Parisit;</w:t>
            </w:r>
          </w:p>
        </w:tc>
        <w:tc>
          <w:tcPr>
            <w:tcW w:w="6115" w:type="dxa"/>
          </w:tcPr>
          <w:p w14:paraId="34C64233" w14:textId="77777777" w:rsidR="004A7844" w:rsidRPr="00213150" w:rsidRDefault="004A7844" w:rsidP="008D3AB2">
            <w:pPr>
              <w:rPr>
                <w:rFonts w:asciiTheme="majorHAnsi" w:hAnsiTheme="majorHAnsi" w:cstheme="majorHAnsi"/>
              </w:rPr>
            </w:pPr>
            <w:r>
              <w:rPr>
                <w:rFonts w:asciiTheme="majorHAnsi" w:hAnsiTheme="majorHAnsi"/>
              </w:rPr>
              <w:t>KKP 3.0 është më ambicioze se KKP-ja e mëparshme. Referojuni paragrafit 6(a).</w:t>
            </w:r>
          </w:p>
        </w:tc>
      </w:tr>
      <w:tr w:rsidR="004A7844" w:rsidRPr="00213150" w14:paraId="34C64238" w14:textId="77777777" w:rsidTr="008D3AB2">
        <w:tc>
          <w:tcPr>
            <w:tcW w:w="1317" w:type="dxa"/>
          </w:tcPr>
          <w:p w14:paraId="34C64235" w14:textId="77777777" w:rsidR="004A7844" w:rsidRPr="00213150" w:rsidRDefault="004A7844" w:rsidP="008D3AB2">
            <w:pPr>
              <w:rPr>
                <w:rFonts w:asciiTheme="majorHAnsi" w:hAnsiTheme="majorHAnsi" w:cstheme="majorHAnsi"/>
              </w:rPr>
            </w:pPr>
            <w:r>
              <w:rPr>
                <w:rFonts w:asciiTheme="majorHAnsi" w:hAnsiTheme="majorHAnsi"/>
              </w:rPr>
              <w:t>6(d)</w:t>
            </w:r>
          </w:p>
        </w:tc>
        <w:tc>
          <w:tcPr>
            <w:tcW w:w="5518" w:type="dxa"/>
          </w:tcPr>
          <w:p w14:paraId="34C64236" w14:textId="77777777" w:rsidR="004A7844" w:rsidRPr="00213150" w:rsidRDefault="004A7844" w:rsidP="008D3AB2">
            <w:pPr>
              <w:rPr>
                <w:rFonts w:asciiTheme="majorHAnsi" w:hAnsiTheme="majorHAnsi" w:cstheme="majorHAnsi"/>
              </w:rPr>
            </w:pPr>
            <w:r>
              <w:rPr>
                <w:rFonts w:asciiTheme="majorHAnsi" w:hAnsiTheme="majorHAnsi"/>
              </w:rPr>
              <w:t>Mënyra si e ka trajtuar Pala nenin 4, paragrafi 4 të Marrëveshjes së Parisit;</w:t>
            </w:r>
          </w:p>
        </w:tc>
        <w:tc>
          <w:tcPr>
            <w:tcW w:w="6115" w:type="dxa"/>
          </w:tcPr>
          <w:p w14:paraId="34C64237" w14:textId="77777777" w:rsidR="004A7844" w:rsidRPr="00213150" w:rsidRDefault="004A7844" w:rsidP="008D3AB2">
            <w:pPr>
              <w:rPr>
                <w:rFonts w:asciiTheme="majorHAnsi" w:hAnsiTheme="majorHAnsi" w:cstheme="majorHAnsi"/>
              </w:rPr>
            </w:pPr>
            <w:r>
              <w:rPr>
                <w:rFonts w:asciiTheme="majorHAnsi" w:hAnsiTheme="majorHAnsi"/>
              </w:rPr>
              <w:t>KKP 3.0 përbën një objektiv në mbarë ekonominë për reduktimin ose kufizimin e shkarkimeve.</w:t>
            </w:r>
          </w:p>
        </w:tc>
      </w:tr>
      <w:tr w:rsidR="004A7844" w:rsidRPr="00213150" w14:paraId="34C6423C" w14:textId="77777777" w:rsidTr="008D3AB2">
        <w:tc>
          <w:tcPr>
            <w:tcW w:w="1317" w:type="dxa"/>
          </w:tcPr>
          <w:p w14:paraId="34C64239" w14:textId="77777777" w:rsidR="004A7844" w:rsidRPr="00213150" w:rsidRDefault="004A7844" w:rsidP="008D3AB2">
            <w:pPr>
              <w:rPr>
                <w:rFonts w:asciiTheme="majorHAnsi" w:hAnsiTheme="majorHAnsi" w:cstheme="majorHAnsi"/>
              </w:rPr>
            </w:pPr>
            <w:r>
              <w:rPr>
                <w:rFonts w:asciiTheme="majorHAnsi" w:hAnsiTheme="majorHAnsi"/>
              </w:rPr>
              <w:lastRenderedPageBreak/>
              <w:t>6(e)</w:t>
            </w:r>
          </w:p>
        </w:tc>
        <w:tc>
          <w:tcPr>
            <w:tcW w:w="5518" w:type="dxa"/>
          </w:tcPr>
          <w:p w14:paraId="34C6423A" w14:textId="77777777" w:rsidR="004A7844" w:rsidRPr="00213150" w:rsidRDefault="004A7844" w:rsidP="008D3AB2">
            <w:pPr>
              <w:rPr>
                <w:rFonts w:asciiTheme="majorHAnsi" w:hAnsiTheme="majorHAnsi" w:cstheme="majorHAnsi"/>
              </w:rPr>
            </w:pPr>
            <w:r>
              <w:rPr>
                <w:rFonts w:asciiTheme="majorHAnsi" w:hAnsiTheme="majorHAnsi"/>
              </w:rPr>
              <w:t>Mënyra si e ka trajtuar Pala nenin 4, paragrafi 6 të Marrëveshjes së Parisit.</w:t>
            </w:r>
          </w:p>
        </w:tc>
        <w:tc>
          <w:tcPr>
            <w:tcW w:w="6115" w:type="dxa"/>
          </w:tcPr>
          <w:p w14:paraId="34C6423B" w14:textId="77777777" w:rsidR="004A7844" w:rsidRPr="00213150" w:rsidRDefault="004A7844" w:rsidP="008D3AB2">
            <w:pPr>
              <w:rPr>
                <w:rFonts w:asciiTheme="majorHAnsi" w:hAnsiTheme="majorHAnsi" w:cstheme="majorHAnsi"/>
              </w:rPr>
            </w:pPr>
            <w:r>
              <w:rPr>
                <w:rFonts w:asciiTheme="majorHAnsi" w:hAnsiTheme="majorHAnsi"/>
              </w:rPr>
              <w:t>Nuk aplikohet.</w:t>
            </w:r>
          </w:p>
        </w:tc>
      </w:tr>
      <w:tr w:rsidR="004A7844" w:rsidRPr="00213150" w14:paraId="34C6423F" w14:textId="77777777" w:rsidTr="008D3AB2">
        <w:tc>
          <w:tcPr>
            <w:tcW w:w="1317" w:type="dxa"/>
          </w:tcPr>
          <w:p w14:paraId="34C6423D" w14:textId="77777777" w:rsidR="004A7844" w:rsidRPr="00213150" w:rsidRDefault="004A7844" w:rsidP="008D3AB2">
            <w:pPr>
              <w:rPr>
                <w:rFonts w:asciiTheme="majorHAnsi" w:hAnsiTheme="majorHAnsi" w:cstheme="majorHAnsi"/>
                <w:b/>
                <w:bCs/>
              </w:rPr>
            </w:pPr>
            <w:r>
              <w:rPr>
                <w:rFonts w:asciiTheme="majorHAnsi" w:hAnsiTheme="majorHAnsi"/>
                <w:b/>
                <w:bCs/>
              </w:rPr>
              <w:t>7</w:t>
            </w:r>
          </w:p>
        </w:tc>
        <w:tc>
          <w:tcPr>
            <w:tcW w:w="11633" w:type="dxa"/>
            <w:gridSpan w:val="2"/>
          </w:tcPr>
          <w:p w14:paraId="34C6423E" w14:textId="77777777" w:rsidR="004A7844" w:rsidRPr="00213150" w:rsidRDefault="004A7844" w:rsidP="008D3AB2">
            <w:pPr>
              <w:rPr>
                <w:rFonts w:asciiTheme="majorHAnsi" w:hAnsiTheme="majorHAnsi" w:cstheme="majorHAnsi"/>
                <w:b/>
                <w:bCs/>
              </w:rPr>
            </w:pPr>
            <w:r>
              <w:rPr>
                <w:rFonts w:asciiTheme="majorHAnsi" w:hAnsiTheme="majorHAnsi"/>
                <w:b/>
                <w:bCs/>
              </w:rPr>
              <w:t>Si kontribuon KKP-ja në arritjen e objektivit të Konventës siç përcaktohet në nenin 2 të saj</w:t>
            </w:r>
          </w:p>
        </w:tc>
      </w:tr>
      <w:tr w:rsidR="004A7844" w:rsidRPr="00213150" w14:paraId="34C64243" w14:textId="77777777" w:rsidTr="008D3AB2">
        <w:tc>
          <w:tcPr>
            <w:tcW w:w="1317" w:type="dxa"/>
          </w:tcPr>
          <w:p w14:paraId="34C64240" w14:textId="77777777" w:rsidR="004A7844" w:rsidRPr="00213150" w:rsidRDefault="004A7844" w:rsidP="008D3AB2">
            <w:pPr>
              <w:rPr>
                <w:rFonts w:asciiTheme="majorHAnsi" w:hAnsiTheme="majorHAnsi" w:cstheme="majorHAnsi"/>
              </w:rPr>
            </w:pPr>
            <w:r>
              <w:rPr>
                <w:rFonts w:asciiTheme="majorHAnsi" w:hAnsiTheme="majorHAnsi"/>
              </w:rPr>
              <w:t>7(a)</w:t>
            </w:r>
          </w:p>
        </w:tc>
        <w:tc>
          <w:tcPr>
            <w:tcW w:w="5518" w:type="dxa"/>
          </w:tcPr>
          <w:p w14:paraId="34C64241" w14:textId="77777777" w:rsidR="004A7844" w:rsidRPr="00213150" w:rsidRDefault="004A7844" w:rsidP="008D3AB2">
            <w:pPr>
              <w:rPr>
                <w:rFonts w:asciiTheme="majorHAnsi" w:hAnsiTheme="majorHAnsi" w:cstheme="majorHAnsi"/>
              </w:rPr>
            </w:pPr>
            <w:r>
              <w:rPr>
                <w:rFonts w:asciiTheme="majorHAnsi" w:hAnsiTheme="majorHAnsi"/>
              </w:rPr>
              <w:t>Si kontribuon KKP-ja në arritjen e objektivit të Konventës siç përcaktohet në nenin 2 të saj;</w:t>
            </w:r>
          </w:p>
        </w:tc>
        <w:tc>
          <w:tcPr>
            <w:tcW w:w="6115" w:type="dxa"/>
          </w:tcPr>
          <w:p w14:paraId="34C64242" w14:textId="77777777" w:rsidR="004A7844" w:rsidRPr="00213150" w:rsidRDefault="004A7844" w:rsidP="008D3AB2">
            <w:pPr>
              <w:rPr>
                <w:rFonts w:asciiTheme="majorHAnsi" w:hAnsiTheme="majorHAnsi" w:cstheme="majorHAnsi"/>
              </w:rPr>
            </w:pPr>
            <w:r>
              <w:rPr>
                <w:rFonts w:asciiTheme="majorHAnsi" w:hAnsiTheme="majorHAnsi"/>
              </w:rPr>
              <w:t xml:space="preserve">Shqipëria po punon drejt objektivit ambicioz të arritjes së neutralitetit klimatik brenda vitit 2050, bazuar në parashikimet e detajuara të PKEK-së. </w:t>
            </w:r>
          </w:p>
        </w:tc>
      </w:tr>
      <w:tr w:rsidR="004A7844" w:rsidRPr="00213150" w14:paraId="34C64247" w14:textId="77777777" w:rsidTr="008D3AB2">
        <w:tc>
          <w:tcPr>
            <w:tcW w:w="1317" w:type="dxa"/>
          </w:tcPr>
          <w:p w14:paraId="34C64244" w14:textId="77777777" w:rsidR="004A7844" w:rsidRPr="00213150" w:rsidRDefault="004A7844" w:rsidP="008D3AB2">
            <w:pPr>
              <w:rPr>
                <w:rFonts w:asciiTheme="majorHAnsi" w:hAnsiTheme="majorHAnsi" w:cstheme="majorHAnsi"/>
              </w:rPr>
            </w:pPr>
            <w:r>
              <w:rPr>
                <w:rFonts w:asciiTheme="majorHAnsi" w:hAnsiTheme="majorHAnsi"/>
              </w:rPr>
              <w:t>7(b)</w:t>
            </w:r>
          </w:p>
        </w:tc>
        <w:tc>
          <w:tcPr>
            <w:tcW w:w="5518" w:type="dxa"/>
          </w:tcPr>
          <w:p w14:paraId="34C64245" w14:textId="77777777" w:rsidR="004A7844" w:rsidRPr="00213150" w:rsidRDefault="004A7844" w:rsidP="008D3AB2">
            <w:pPr>
              <w:rPr>
                <w:rFonts w:asciiTheme="majorHAnsi" w:hAnsiTheme="majorHAnsi" w:cstheme="majorHAnsi"/>
              </w:rPr>
            </w:pPr>
            <w:r>
              <w:rPr>
                <w:rFonts w:asciiTheme="majorHAnsi" w:hAnsiTheme="majorHAnsi"/>
              </w:rPr>
              <w:t>Mënyra si kontribuon KKP-ja në lidhje me nenin 2, paragrafi 1, germa "a" dhe nenin 4, paragrafi 1, të Marrëveshjes së Parisit.</w:t>
            </w:r>
          </w:p>
        </w:tc>
        <w:tc>
          <w:tcPr>
            <w:tcW w:w="6115" w:type="dxa"/>
          </w:tcPr>
          <w:p w14:paraId="34C64246" w14:textId="77777777" w:rsidR="004A7844" w:rsidRPr="00213150" w:rsidRDefault="004A7844" w:rsidP="008D3AB2">
            <w:pPr>
              <w:tabs>
                <w:tab w:val="left" w:pos="1520"/>
              </w:tabs>
              <w:rPr>
                <w:rFonts w:asciiTheme="majorHAnsi" w:hAnsiTheme="majorHAnsi" w:cstheme="majorHAnsi"/>
              </w:rPr>
            </w:pPr>
            <w:r>
              <w:rPr>
                <w:rFonts w:asciiTheme="majorHAnsi" w:hAnsiTheme="majorHAnsi"/>
              </w:rPr>
              <w:t>Shqipëria e konsideron KKP-në e saj në përputhje me objektivin e KKKBNK-së dhe me objektivat afatgjatë të KKKBNK-së, të Marrëveshjes së Parisit dhe të BE-së, siç shpjegohet në paragrafët 6(a) dhe 7(a).</w:t>
            </w:r>
          </w:p>
        </w:tc>
      </w:tr>
    </w:tbl>
    <w:p w14:paraId="34C64248" w14:textId="77777777" w:rsidR="004A7844" w:rsidRPr="00376025" w:rsidRDefault="004A7844" w:rsidP="004A7844">
      <w:pPr>
        <w:pStyle w:val="BodyText"/>
        <w:jc w:val="both"/>
        <w:rPr>
          <w:rFonts w:asciiTheme="majorHAnsi" w:hAnsiTheme="majorHAnsi" w:cstheme="majorHAnsi"/>
        </w:rPr>
        <w:sectPr w:rsidR="004A7844" w:rsidRPr="00376025" w:rsidSect="00C51392">
          <w:pgSz w:w="12240" w:h="15840" w:code="9"/>
          <w:pgMar w:top="1440" w:right="1440" w:bottom="1440" w:left="1440" w:header="720" w:footer="720" w:gutter="0"/>
          <w:cols w:space="720"/>
          <w:docGrid w:linePitch="360"/>
        </w:sectPr>
      </w:pPr>
    </w:p>
    <w:p w14:paraId="34C6424A" w14:textId="77777777" w:rsidR="00213150" w:rsidRDefault="00213150" w:rsidP="000F3E74">
      <w:pPr>
        <w:pStyle w:val="BodyText"/>
        <w:jc w:val="both"/>
        <w:rPr>
          <w:rFonts w:asciiTheme="majorHAnsi" w:hAnsiTheme="majorHAnsi" w:cstheme="majorHAnsi"/>
        </w:rPr>
      </w:pPr>
    </w:p>
    <w:p w14:paraId="34C6424B" w14:textId="77777777" w:rsidR="00F12E61" w:rsidRPr="00213150" w:rsidRDefault="00F12E61" w:rsidP="00F12E61">
      <w:pPr>
        <w:pStyle w:val="Heading1"/>
        <w:rPr>
          <w:rFonts w:asciiTheme="majorHAnsi" w:hAnsiTheme="majorHAnsi" w:cstheme="majorHAnsi"/>
        </w:rPr>
      </w:pPr>
      <w:bookmarkStart w:id="70" w:name="_Toc216778883"/>
      <w:r>
        <w:rPr>
          <w:rFonts w:asciiTheme="majorHAnsi" w:hAnsiTheme="majorHAnsi"/>
        </w:rPr>
        <w:t>Referenca</w:t>
      </w:r>
      <w:bookmarkEnd w:id="70"/>
    </w:p>
    <w:p w14:paraId="34C6424C" w14:textId="77777777" w:rsidR="00F12E61" w:rsidRDefault="00F12E61" w:rsidP="00954464">
      <w:pPr>
        <w:pStyle w:val="BodyText"/>
        <w:numPr>
          <w:ilvl w:val="0"/>
          <w:numId w:val="6"/>
        </w:numPr>
        <w:spacing w:after="0"/>
        <w:jc w:val="both"/>
        <w:rPr>
          <w:rFonts w:asciiTheme="majorHAnsi" w:hAnsiTheme="majorHAnsi" w:cstheme="majorHAnsi"/>
        </w:rPr>
      </w:pPr>
      <w:r>
        <w:rPr>
          <w:rFonts w:asciiTheme="majorHAnsi" w:hAnsiTheme="majorHAnsi"/>
        </w:rPr>
        <w:t>Plani Kombëtar i Republikës së Shqipërisë për Energjinë dhe Klimën (2025)</w:t>
      </w:r>
    </w:p>
    <w:p w14:paraId="34C6424D" w14:textId="2543603B" w:rsidR="00F12E61" w:rsidRDefault="000B6DC2" w:rsidP="00954464">
      <w:pPr>
        <w:pStyle w:val="BodyText"/>
        <w:numPr>
          <w:ilvl w:val="0"/>
          <w:numId w:val="6"/>
        </w:numPr>
        <w:spacing w:after="0"/>
        <w:jc w:val="both"/>
        <w:rPr>
          <w:rFonts w:asciiTheme="majorHAnsi" w:hAnsiTheme="majorHAnsi" w:cstheme="majorHAnsi"/>
        </w:rPr>
      </w:pPr>
      <w:r>
        <w:rPr>
          <w:rFonts w:asciiTheme="majorHAnsi" w:hAnsiTheme="majorHAnsi"/>
        </w:rPr>
        <w:t>KKP-ja e rishikuar e Shqipërisë (2021)</w:t>
      </w:r>
    </w:p>
    <w:p w14:paraId="34C6424E" w14:textId="77777777" w:rsidR="00F12E61" w:rsidRDefault="00F12E61" w:rsidP="00954464">
      <w:pPr>
        <w:pStyle w:val="BodyText"/>
        <w:numPr>
          <w:ilvl w:val="0"/>
          <w:numId w:val="6"/>
        </w:numPr>
        <w:spacing w:after="0"/>
        <w:jc w:val="both"/>
        <w:rPr>
          <w:rFonts w:asciiTheme="majorHAnsi" w:hAnsiTheme="majorHAnsi" w:cstheme="majorHAnsi"/>
        </w:rPr>
      </w:pPr>
      <w:r>
        <w:rPr>
          <w:rFonts w:asciiTheme="majorHAnsi" w:hAnsiTheme="majorHAnsi"/>
        </w:rPr>
        <w:t>Komunikimi i Dytë Kombëtar i Shqipërisë në Konferencën e Palëve në zbatim të Konventës Kuadër të Kombeve të Bashkuara për Ndryshimet Klimatike (Nëntor 2009)</w:t>
      </w:r>
    </w:p>
    <w:p w14:paraId="34C6424F" w14:textId="2DF7C1E1" w:rsidR="00F12E61" w:rsidRDefault="008066B3" w:rsidP="00954464">
      <w:pPr>
        <w:pStyle w:val="BodyText"/>
        <w:numPr>
          <w:ilvl w:val="0"/>
          <w:numId w:val="6"/>
        </w:numPr>
        <w:spacing w:after="0"/>
        <w:jc w:val="both"/>
        <w:rPr>
          <w:rFonts w:asciiTheme="majorHAnsi" w:hAnsiTheme="majorHAnsi" w:cstheme="majorHAnsi"/>
        </w:rPr>
      </w:pPr>
      <w:r>
        <w:rPr>
          <w:rFonts w:asciiTheme="majorHAnsi" w:hAnsiTheme="majorHAnsi"/>
        </w:rPr>
        <w:t>Strategjia e Ndryshimeve Klimatike dhe Planet e Veprimit (2019)</w:t>
      </w:r>
    </w:p>
    <w:p w14:paraId="3FE163AE" w14:textId="3D7490B9" w:rsidR="008066B3" w:rsidRPr="00A34F7E" w:rsidRDefault="008066B3" w:rsidP="00954464">
      <w:pPr>
        <w:pStyle w:val="BodyText"/>
        <w:numPr>
          <w:ilvl w:val="0"/>
          <w:numId w:val="6"/>
        </w:numPr>
        <w:spacing w:after="0"/>
        <w:jc w:val="both"/>
        <w:rPr>
          <w:rFonts w:asciiTheme="majorHAnsi" w:hAnsiTheme="majorHAnsi" w:cstheme="majorHAnsi"/>
        </w:rPr>
      </w:pPr>
      <w:r>
        <w:rPr>
          <w:rFonts w:asciiTheme="majorHAnsi" w:hAnsiTheme="majorHAnsi"/>
        </w:rPr>
        <w:t>Dokumenti “Mbi politikat e sektorit të pyjeve në Shqipëri” (2019-2030)</w:t>
      </w:r>
    </w:p>
    <w:p w14:paraId="34C64250" w14:textId="77777777" w:rsidR="00F12E61" w:rsidRDefault="00F12E61" w:rsidP="00954464">
      <w:pPr>
        <w:pStyle w:val="BodyText"/>
        <w:numPr>
          <w:ilvl w:val="0"/>
          <w:numId w:val="6"/>
        </w:numPr>
        <w:spacing w:after="0"/>
        <w:jc w:val="both"/>
        <w:rPr>
          <w:rFonts w:asciiTheme="majorHAnsi" w:hAnsiTheme="majorHAnsi" w:cstheme="majorHAnsi"/>
        </w:rPr>
      </w:pPr>
      <w:r>
        <w:rPr>
          <w:rFonts w:asciiTheme="majorHAnsi" w:hAnsiTheme="majorHAnsi"/>
        </w:rPr>
        <w:t>Draft Dokumenti i Inventarit Kombëtar (DIK) 2024, pjesë e dokumenteve të dorëzuara nga Shqipëria sipas Konventës Kuadër të Kombeve të Bashkuara për Ndryshimet Klimatike (KKKBNK) dhe Marrëveshjes së Parisit (dhjetor 2024)</w:t>
      </w:r>
    </w:p>
    <w:p w14:paraId="34C64251" w14:textId="4056EBA5" w:rsidR="00F12E61" w:rsidRDefault="00F12E61" w:rsidP="00954464">
      <w:pPr>
        <w:pStyle w:val="BodyText"/>
        <w:numPr>
          <w:ilvl w:val="0"/>
          <w:numId w:val="6"/>
        </w:numPr>
        <w:spacing w:after="0"/>
        <w:jc w:val="both"/>
        <w:rPr>
          <w:rFonts w:asciiTheme="majorHAnsi" w:hAnsiTheme="majorHAnsi" w:cstheme="majorHAnsi"/>
        </w:rPr>
      </w:pPr>
      <w:r>
        <w:rPr>
          <w:rFonts w:asciiTheme="majorHAnsi" w:hAnsiTheme="majorHAnsi"/>
        </w:rPr>
        <w:t>Komunikimi i katërt Kombëtar i Shqipërisë për Ndryshimet Klimatike (Shtator 2022)</w:t>
      </w:r>
    </w:p>
    <w:p w14:paraId="34C64252" w14:textId="14D58F1C" w:rsidR="00F12E61" w:rsidRDefault="00F12E61" w:rsidP="00954464">
      <w:pPr>
        <w:pStyle w:val="BodyText"/>
        <w:numPr>
          <w:ilvl w:val="0"/>
          <w:numId w:val="6"/>
        </w:numPr>
        <w:spacing w:after="0"/>
        <w:jc w:val="both"/>
        <w:rPr>
          <w:rFonts w:asciiTheme="majorHAnsi" w:hAnsiTheme="majorHAnsi" w:cstheme="majorHAnsi"/>
        </w:rPr>
      </w:pPr>
      <w:r>
        <w:rPr>
          <w:rFonts w:asciiTheme="majorHAnsi" w:hAnsiTheme="majorHAnsi"/>
        </w:rPr>
        <w:t>Drafti i Planit Kombëtar të Përshtatjes i Shqipërisë (2024-2025)</w:t>
      </w:r>
    </w:p>
    <w:p w14:paraId="34C64253" w14:textId="77777777" w:rsidR="00F12E61" w:rsidRPr="005F087E" w:rsidRDefault="00F12E61" w:rsidP="00954464">
      <w:pPr>
        <w:pStyle w:val="BodyText"/>
        <w:numPr>
          <w:ilvl w:val="0"/>
          <w:numId w:val="6"/>
        </w:numPr>
        <w:spacing w:after="0"/>
        <w:jc w:val="both"/>
        <w:rPr>
          <w:rFonts w:asciiTheme="majorHAnsi" w:hAnsiTheme="majorHAnsi" w:cstheme="majorHAnsi"/>
        </w:rPr>
      </w:pPr>
      <w:r>
        <w:rPr>
          <w:rFonts w:asciiTheme="majorHAnsi" w:hAnsiTheme="majorHAnsi"/>
        </w:rPr>
        <w:t>Plani i Përshtatjes ndaj Ndryshimeve Klimatike i Bashkisë Përmet 2024–2040 (Mars 2024)</w:t>
      </w:r>
    </w:p>
    <w:p w14:paraId="34C64254" w14:textId="77777777" w:rsidR="00F12E61" w:rsidRPr="00213150" w:rsidRDefault="00F12E61" w:rsidP="00954464">
      <w:pPr>
        <w:pStyle w:val="BodyText"/>
        <w:numPr>
          <w:ilvl w:val="0"/>
          <w:numId w:val="6"/>
        </w:numPr>
        <w:spacing w:after="0"/>
        <w:jc w:val="both"/>
        <w:rPr>
          <w:rFonts w:asciiTheme="majorHAnsi" w:hAnsiTheme="majorHAnsi" w:cstheme="majorHAnsi"/>
        </w:rPr>
      </w:pPr>
      <w:r>
        <w:rPr>
          <w:rFonts w:asciiTheme="majorHAnsi" w:hAnsiTheme="majorHAnsi"/>
        </w:rPr>
        <w:t>Strategjisë Kombëtare e Shqipërisë për Zvogëlimin e Riskut nga Fatkeqësitë 2023-2030 (2023)</w:t>
      </w:r>
    </w:p>
    <w:p w14:paraId="34C64258" w14:textId="77777777" w:rsidR="00213150" w:rsidRDefault="00213150" w:rsidP="000F3E74">
      <w:pPr>
        <w:pStyle w:val="BodyText"/>
        <w:jc w:val="both"/>
        <w:rPr>
          <w:rFonts w:asciiTheme="majorHAnsi" w:hAnsiTheme="majorHAnsi" w:cstheme="majorHAnsi"/>
        </w:rPr>
      </w:pPr>
    </w:p>
    <w:sectPr w:rsidR="00213150" w:rsidSect="00213150">
      <w:pgSz w:w="12240" w:h="15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4166" w14:textId="77777777" w:rsidR="005616EB" w:rsidRDefault="005616EB">
      <w:r>
        <w:separator/>
      </w:r>
    </w:p>
  </w:endnote>
  <w:endnote w:type="continuationSeparator" w:id="0">
    <w:p w14:paraId="35CB1824" w14:textId="77777777" w:rsidR="005616EB" w:rsidRDefault="0056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Plus Bold">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Goudy Old Style BT">
    <w:altName w:val="Goudy Old Styl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429F" w14:textId="21DC407F" w:rsidR="00376025" w:rsidRPr="00FC1D8D" w:rsidRDefault="00376025" w:rsidP="00C9470B">
    <w:pPr>
      <w:pStyle w:val="Footer"/>
      <w:framePr w:wrap="around" w:vAnchor="text" w:hAnchor="page" w:x="10621" w:y="48"/>
      <w:spacing w:before="0"/>
      <w:rPr>
        <w:rStyle w:val="PageNumber"/>
        <w:sz w:val="20"/>
        <w:szCs w:val="20"/>
      </w:rPr>
    </w:pPr>
    <w:r w:rsidRPr="00FC1D8D">
      <w:rPr>
        <w:rStyle w:val="PageNumber"/>
        <w:sz w:val="20"/>
        <w:szCs w:val="20"/>
      </w:rPr>
      <w:fldChar w:fldCharType="begin"/>
    </w:r>
    <w:r w:rsidRPr="00FC1D8D">
      <w:rPr>
        <w:rStyle w:val="PageNumber"/>
        <w:sz w:val="20"/>
        <w:szCs w:val="20"/>
      </w:rPr>
      <w:instrText xml:space="preserve">PAGE  </w:instrText>
    </w:r>
    <w:r w:rsidRPr="00FC1D8D">
      <w:rPr>
        <w:rStyle w:val="PageNumber"/>
        <w:sz w:val="20"/>
        <w:szCs w:val="20"/>
      </w:rPr>
      <w:fldChar w:fldCharType="separate"/>
    </w:r>
    <w:r w:rsidR="00852E36">
      <w:rPr>
        <w:rStyle w:val="PageNumber"/>
        <w:noProof/>
        <w:sz w:val="20"/>
        <w:szCs w:val="20"/>
      </w:rPr>
      <w:t>70</w:t>
    </w:r>
    <w:r w:rsidRPr="00FC1D8D">
      <w:rPr>
        <w:rStyle w:val="PageNumber"/>
        <w:sz w:val="20"/>
        <w:szCs w:val="20"/>
      </w:rPr>
      <w:fldChar w:fldCharType="end"/>
    </w:r>
  </w:p>
  <w:p w14:paraId="34C642A0" w14:textId="243C7F09" w:rsidR="00376025" w:rsidRPr="00FC1D8D" w:rsidRDefault="00376025" w:rsidP="00823626">
    <w:pPr>
      <w:pStyle w:val="Footer"/>
      <w:tabs>
        <w:tab w:val="clear" w:pos="4320"/>
        <w:tab w:val="clear" w:pos="8640"/>
        <w:tab w:val="left" w:pos="7582"/>
      </w:tabs>
      <w:spacing w:before="0"/>
      <w:ind w:right="360"/>
      <w:rPr>
        <w:i/>
        <w:sz w:val="20"/>
        <w:szCs w:val="20"/>
      </w:rPr>
    </w:pPr>
    <w:r>
      <w:rPr>
        <w:i/>
        <w:noProof/>
        <w:sz w:val="20"/>
        <w:szCs w:val="20"/>
        <w:lang w:val="en-US"/>
      </w:rPr>
      <mc:AlternateContent>
        <mc:Choice Requires="wps">
          <w:drawing>
            <wp:anchor distT="4294967294" distB="4294967294" distL="114300" distR="114300" simplePos="0" relativeHeight="251657216" behindDoc="0" locked="0" layoutInCell="1" allowOverlap="1" wp14:anchorId="34C642A1" wp14:editId="56C41629">
              <wp:simplePos x="0" y="0"/>
              <wp:positionH relativeFrom="column">
                <wp:posOffset>0</wp:posOffset>
              </wp:positionH>
              <wp:positionV relativeFrom="paragraph">
                <wp:posOffset>-26036</wp:posOffset>
              </wp:positionV>
              <wp:extent cx="5943600" cy="0"/>
              <wp:effectExtent l="0" t="0" r="0" b="0"/>
              <wp:wrapNone/>
              <wp:docPr id="6490102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chemeClr val="tx2"/>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9DC8B6"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" strokecolor="#1f497d [3215]"/>
          </w:pict>
        </mc:Fallback>
      </mc:AlternateContent>
    </w:r>
    <w:r>
      <w:rPr>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2EE7" w14:textId="77777777" w:rsidR="005616EB" w:rsidRDefault="005616EB">
      <w:r>
        <w:separator/>
      </w:r>
    </w:p>
  </w:footnote>
  <w:footnote w:type="continuationSeparator" w:id="0">
    <w:p w14:paraId="38959C81" w14:textId="77777777" w:rsidR="005616EB" w:rsidRDefault="005616EB">
      <w:r>
        <w:continuationSeparator/>
      </w:r>
    </w:p>
  </w:footnote>
  <w:footnote w:id="1">
    <w:p w14:paraId="34C642A2" w14:textId="3BF7894C" w:rsidR="00376025" w:rsidRPr="004F6258" w:rsidRDefault="00376025">
      <w:pPr>
        <w:pStyle w:val="FootnoteText"/>
      </w:pPr>
      <w:r>
        <w:rPr>
          <w:rStyle w:val="FootnoteReference"/>
        </w:rPr>
        <w:footnoteRef/>
      </w:r>
      <w:hyperlink r:id="rId1" w:history="1">
        <w:r>
          <w:rPr>
            <w:rStyle w:val="Hyperlink"/>
          </w:rPr>
          <w:t>Aktet e Ministrisë së Mjedisit</w:t>
        </w:r>
      </w:hyperlink>
      <w:r>
        <w:t xml:space="preserve"> </w:t>
      </w:r>
    </w:p>
  </w:footnote>
  <w:footnote w:id="2">
    <w:p w14:paraId="34C642A3" w14:textId="5CC4A0C3" w:rsidR="00376025" w:rsidRDefault="00376025">
      <w:pPr>
        <w:pStyle w:val="FootnoteText"/>
      </w:pPr>
      <w:r>
        <w:rPr>
          <w:rStyle w:val="FootnoteReference"/>
        </w:rPr>
        <w:footnoteRef/>
      </w:r>
      <w:hyperlink r:id="rId2" w:history="1">
        <w:r>
          <w:rPr>
            <w:rStyle w:val="Hyperlink"/>
            <w:rFonts w:asciiTheme="majorHAnsi" w:hAnsiTheme="majorHAnsi"/>
          </w:rPr>
          <w:t xml:space="preserve">Vendime </w:t>
        </w:r>
        <w:r>
          <w:rPr>
            <w:rStyle w:val="Hyperlink"/>
            <w:rFonts w:asciiTheme="majorHAnsi" w:hAnsiTheme="majorHAnsi"/>
          </w:rPr>
          <w:t xml:space="preserve">të miratuara në mbledhjen e Këshillit të </w:t>
        </w:r>
        <w:r>
          <w:rPr>
            <w:rStyle w:val="Hyperlink"/>
            <w:rFonts w:asciiTheme="majorHAnsi" w:hAnsiTheme="majorHAnsi"/>
          </w:rPr>
          <w:t>M</w:t>
        </w:r>
        <w:r>
          <w:rPr>
            <w:rStyle w:val="Hyperlink"/>
            <w:rFonts w:asciiTheme="majorHAnsi" w:hAnsiTheme="majorHAnsi"/>
          </w:rPr>
          <w:t xml:space="preserve">inistrave </w:t>
        </w:r>
      </w:hyperlink>
      <w:r>
        <w:rPr>
          <w:rFonts w:asciiTheme="majorHAnsi" w:hAnsiTheme="majorHAnsi"/>
        </w:rPr>
        <w:t xml:space="preserve"> VKM nr. 762, datë 16.9.2015, "Për miratimin e dokumentit për përcaktimin e Kontributit Kombëtar të Pikësynuar kundrejt arritjes së objektivit të Konventës Kuadër të Kombeve të Bashkuara për Ndryshimet Klimatike" </w:t>
      </w:r>
    </w:p>
  </w:footnote>
  <w:footnote w:id="3">
    <w:p w14:paraId="34C642A4" w14:textId="38D3575E" w:rsidR="00376025" w:rsidRPr="00420095" w:rsidRDefault="00376025">
      <w:pPr>
        <w:pStyle w:val="FootnoteText"/>
        <w:rPr>
          <w:rFonts w:asciiTheme="majorHAnsi" w:hAnsiTheme="majorHAnsi" w:cstheme="majorHAnsi"/>
          <w:szCs w:val="18"/>
        </w:rPr>
      </w:pPr>
      <w:r>
        <w:rPr>
          <w:rStyle w:val="FootnoteReference"/>
          <w:rFonts w:asciiTheme="majorHAnsi" w:hAnsiTheme="majorHAnsi" w:cstheme="majorHAnsi"/>
        </w:rPr>
        <w:footnoteRef/>
      </w:r>
      <w:hyperlink r:id="rId3" w:history="1">
        <w:r>
          <w:rPr>
            <w:rStyle w:val="Hyperlink"/>
            <w:rFonts w:asciiTheme="majorHAnsi" w:hAnsiTheme="majorHAnsi"/>
          </w:rPr>
          <w:t xml:space="preserve">Vendime </w:t>
        </w:r>
        <w:r>
          <w:rPr>
            <w:rStyle w:val="Hyperlink"/>
            <w:rFonts w:asciiTheme="majorHAnsi" w:hAnsiTheme="majorHAnsi"/>
          </w:rPr>
          <w:t>të miratuara në mbledhjen e Këshillit të Ministrave</w:t>
        </w:r>
      </w:hyperlink>
      <w:r>
        <w:rPr>
          <w:rFonts w:asciiTheme="majorHAnsi" w:hAnsiTheme="majorHAnsi"/>
        </w:rPr>
        <w:t xml:space="preserve"> </w:t>
      </w:r>
      <w:r>
        <w:rPr>
          <w:rFonts w:asciiTheme="majorHAnsi" w:hAnsiTheme="majorHAnsi"/>
          <w:szCs w:val="18"/>
        </w:rPr>
        <w:t xml:space="preserve">VKM nr. 581, datë 6.10.2021, "Për miratimin e dokumentit të Kontributit Kombëtar të Përcaktuar" </w:t>
      </w:r>
    </w:p>
  </w:footnote>
  <w:footnote w:id="4">
    <w:p w14:paraId="34C642A5" w14:textId="1F50ECED" w:rsidR="00376025" w:rsidRPr="00420095" w:rsidRDefault="00376025">
      <w:pPr>
        <w:pStyle w:val="FootnoteText"/>
        <w:rPr>
          <w:szCs w:val="18"/>
        </w:rPr>
      </w:pPr>
      <w:r>
        <w:rPr>
          <w:rStyle w:val="FootnoteReference"/>
          <w:rFonts w:asciiTheme="majorHAnsi" w:hAnsiTheme="majorHAnsi" w:cstheme="majorHAnsi"/>
          <w:szCs w:val="18"/>
        </w:rPr>
        <w:footnoteRef/>
      </w:r>
      <w:r>
        <w:rPr>
          <w:rFonts w:asciiTheme="majorHAnsi" w:hAnsiTheme="majorHAnsi"/>
          <w:szCs w:val="18"/>
        </w:rPr>
        <w:t xml:space="preserve">VKM </w:t>
      </w:r>
      <w:hyperlink r:id="rId4" w:history="1">
        <w:r>
          <w:rPr>
            <w:rStyle w:val="Hyperlink"/>
            <w:rFonts w:asciiTheme="majorHAnsi" w:hAnsiTheme="majorHAnsi"/>
            <w:szCs w:val="18"/>
          </w:rPr>
          <w:t>nr. 872, datë 29.12.2021, “Për miratimin e Planit Kombëtar për Energjinë dhe Klimën 2020–2030”</w:t>
        </w:r>
      </w:hyperlink>
    </w:p>
  </w:footnote>
  <w:footnote w:id="5">
    <w:p w14:paraId="2159E0B4" w14:textId="792BFF21" w:rsidR="00376025" w:rsidRDefault="00376025" w:rsidP="00DD72AB">
      <w:pPr>
        <w:pStyle w:val="FootnoteText"/>
        <w:snapToGrid w:val="0"/>
      </w:pPr>
      <w:hyperlink r:id="rId5" w:history="1">
        <w:r>
          <w:rPr>
            <w:rStyle w:val="Hyperlink"/>
            <w:vertAlign w:val="superscript"/>
          </w:rPr>
          <w:footnoteRef/>
        </w:r>
        <w:r>
          <w:rPr>
            <w:rStyle w:val="Hyperlink"/>
          </w:rPr>
          <w:t xml:space="preserve"> </w:t>
        </w:r>
        <w:r>
          <w:rPr>
            <w:rStyle w:val="Hyperlink"/>
          </w:rPr>
          <w:t>Qeveria Shqiptare Këshilli i Minis</w:t>
        </w:r>
        <w:r>
          <w:rPr>
            <w:rStyle w:val="Hyperlink"/>
          </w:rPr>
          <w:t>t</w:t>
        </w:r>
        <w:r>
          <w:rPr>
            <w:rStyle w:val="Hyperlink"/>
          </w:rPr>
          <w:t>rave VKM nr. 88, datë 22.2.2023</w:t>
        </w:r>
      </w:hyperlink>
      <w:r w:rsidR="004F2407">
        <w:t xml:space="preserve"> </w:t>
      </w:r>
      <w:r w:rsidR="004F2407" w:rsidRPr="004F2407">
        <w:t>Për miratimin e Strategjisë Kombëtare për Zhvillim dhe Integrim Evropian 2022–2030</w:t>
      </w:r>
    </w:p>
  </w:footnote>
  <w:footnote w:id="6">
    <w:p w14:paraId="34C642A6" w14:textId="77777777" w:rsidR="00376025" w:rsidRDefault="00376025">
      <w:pPr>
        <w:pStyle w:val="FootnoteText"/>
      </w:pPr>
      <w:r>
        <w:rPr>
          <w:rStyle w:val="FootnoteReference"/>
        </w:rPr>
        <w:footnoteRef/>
      </w:r>
      <w:r>
        <w:rPr>
          <w:rFonts w:asciiTheme="majorHAnsi" w:hAnsiTheme="majorHAnsi"/>
        </w:rPr>
        <w:t>Vlerat e BRE-ve që tejkalojnë 100% tregojnë se prodhimi i energjisë së rinovueshme tejkalon konsumin total të energjisë elektrike dhe kjo tepricë eksportohet.</w:t>
      </w:r>
    </w:p>
  </w:footnote>
  <w:footnote w:id="7">
    <w:p w14:paraId="34C642A7" w14:textId="59A70BC3" w:rsidR="00376025" w:rsidRPr="00501494" w:rsidRDefault="00376025">
      <w:pPr>
        <w:pStyle w:val="FootnoteText"/>
      </w:pPr>
      <w:r>
        <w:rPr>
          <w:rStyle w:val="FootnoteReference"/>
        </w:rPr>
        <w:footnoteRef/>
      </w:r>
      <w:hyperlink r:id="rId6" w:history="1">
        <w:r>
          <w:rPr>
            <w:rStyle w:val="Hyperlink"/>
          </w:rPr>
          <w:t xml:space="preserve">Urdhri </w:t>
        </w:r>
        <w:r>
          <w:rPr>
            <w:rStyle w:val="Hyperlink"/>
          </w:rPr>
          <w:t>Nr. 203, datë 18.10.2022, “Për miratimin e formatit të planeve të veprimit të konsumatorëve të mëdhenj të energjisë dhe të raportit vjetor të progresit</w:t>
        </w:r>
      </w:hyperlink>
      <w:r>
        <w:t xml:space="preserve">” </w:t>
      </w:r>
    </w:p>
  </w:footnote>
  <w:footnote w:id="8">
    <w:p w14:paraId="34C642A8" w14:textId="6EA4E903" w:rsidR="00376025" w:rsidRPr="00501494" w:rsidRDefault="00376025">
      <w:pPr>
        <w:pStyle w:val="FootnoteText"/>
      </w:pPr>
      <w:r>
        <w:rPr>
          <w:rStyle w:val="FootnoteReference"/>
        </w:rPr>
        <w:footnoteRef/>
      </w:r>
      <w:hyperlink r:id="rId7" w:history="1">
        <w:r>
          <w:rPr>
            <w:rStyle w:val="Hyperlink"/>
          </w:rPr>
          <w:t>Urdhër Nr. 206, datë 25.10.2022, “Për miratimin e formatit të planeve vendore të veprimit për efiçencën e energjisë dhe raporti i progresit për zbatimin e planeve”;</w:t>
        </w:r>
      </w:hyperlink>
    </w:p>
  </w:footnote>
  <w:footnote w:id="9">
    <w:p w14:paraId="34C642A9" w14:textId="5A5848F9" w:rsidR="00376025" w:rsidRPr="00501494" w:rsidRDefault="00376025">
      <w:pPr>
        <w:pStyle w:val="FootnoteText"/>
      </w:pPr>
      <w:r>
        <w:rPr>
          <w:rStyle w:val="FootnoteReference"/>
        </w:rPr>
        <w:footnoteRef/>
      </w:r>
      <w:r>
        <w:t xml:space="preserve">Vendimet </w:t>
      </w:r>
      <w:r>
        <w:t xml:space="preserve">e miratuara në mbledhjen e Këshillit të Ministrave, VKM Nr. 189, datë 5.4.2023 </w:t>
      </w:r>
      <w:hyperlink r:id="rId8" w:history="1">
        <w:r>
          <w:rPr>
            <w:rStyle w:val="Hyperlink"/>
          </w:rPr>
          <w:t>“Për miratimin e platformës së monitorimit dhe verifikimit”</w:t>
        </w:r>
      </w:hyperlink>
    </w:p>
  </w:footnote>
  <w:footnote w:id="10">
    <w:p w14:paraId="60F8547B" w14:textId="1A6D12ED" w:rsidR="00376025" w:rsidRDefault="00376025">
      <w:pPr>
        <w:pStyle w:val="FootnoteText"/>
      </w:pPr>
      <w:r>
        <w:rPr>
          <w:rStyle w:val="FootnoteReference"/>
        </w:rPr>
        <w:footnoteRef/>
      </w:r>
      <w:r>
        <w:t xml:space="preserve"> </w:t>
      </w:r>
      <w:hyperlink r:id="rId9" w:history="1">
        <w:r>
          <w:rPr>
            <w:rStyle w:val="Hyperlink"/>
          </w:rPr>
          <w:t>VKM Nr. 460, datë 29.6.2022, “Për miratimin e Strategjisë së Bujqësisë, Zhvillimit Rural dhe Peshkimit 2021-2027”</w:t>
        </w:r>
      </w:hyperlink>
    </w:p>
  </w:footnote>
  <w:footnote w:id="11">
    <w:p w14:paraId="34C642AA" w14:textId="1958A9E7" w:rsidR="00376025" w:rsidRDefault="00376025">
      <w:pPr>
        <w:pStyle w:val="FootnoteText"/>
      </w:pPr>
      <w:r>
        <w:rPr>
          <w:rStyle w:val="FootnoteReference"/>
        </w:rPr>
        <w:footnoteRef/>
      </w:r>
      <w:hyperlink r:id="rId10" w:history="1">
        <w:r>
          <w:rPr>
            <w:rStyle w:val="Hyperlink"/>
          </w:rPr>
          <w:t xml:space="preserve">VKM </w:t>
        </w:r>
        <w:r>
          <w:rPr>
            <w:rStyle w:val="Hyperlink"/>
          </w:rPr>
          <w:t>nr. 814, datë 31.12.2018, “Për miratimin e dokumentit të politikave për pyjet në Shqipëri, 2019-2030”</w:t>
        </w:r>
      </w:hyperlink>
    </w:p>
  </w:footnote>
  <w:footnote w:id="12">
    <w:p w14:paraId="34C642AC" w14:textId="29BAD1C5" w:rsidR="00376025" w:rsidRDefault="00376025">
      <w:pPr>
        <w:pStyle w:val="FootnoteText"/>
      </w:pPr>
      <w:r>
        <w:rPr>
          <w:rStyle w:val="FootnoteReference"/>
        </w:rPr>
        <w:footnoteRef/>
      </w:r>
      <w:hyperlink r:id="rId11" w:history="1">
        <w:r>
          <w:rPr>
            <w:rStyle w:val="Hyperlink"/>
          </w:rPr>
          <w:t>Strategjia e Ndryshimeve Klimatike dhe Planet e Veprimit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219A70"/>
    <w:multiLevelType w:val="singleLevel"/>
    <w:tmpl w:val="E1219A7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4"/>
    <w:multiLevelType w:val="multilevel"/>
    <w:tmpl w:val="00000004"/>
    <w:name w:val="WW8Num4"/>
    <w:lvl w:ilvl="0">
      <w:start w:val="1"/>
      <w:numFmt w:val="bullet"/>
      <w:lvlText w:val=""/>
      <w:lvlJc w:val="left"/>
      <w:pPr>
        <w:tabs>
          <w:tab w:val="num" w:pos="851"/>
        </w:tabs>
        <w:ind w:left="851" w:hanging="283"/>
      </w:pPr>
      <w:rPr>
        <w:rFonts w:ascii="Symbol" w:hAnsi="Symbol"/>
      </w:rPr>
    </w:lvl>
    <w:lvl w:ilvl="1">
      <w:numFmt w:val="bullet"/>
      <w:lvlText w:val="-"/>
      <w:lvlJc w:val="left"/>
      <w:pPr>
        <w:tabs>
          <w:tab w:val="num" w:pos="1135"/>
        </w:tabs>
        <w:ind w:left="1135" w:hanging="283"/>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Unicode M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Unicode MS"/>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3228CD"/>
    <w:multiLevelType w:val="hybridMultilevel"/>
    <w:tmpl w:val="06425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C4DE9"/>
    <w:multiLevelType w:val="hybridMultilevel"/>
    <w:tmpl w:val="0F14BF4E"/>
    <w:lvl w:ilvl="0" w:tplc="0848226C">
      <w:start w:val="1"/>
      <w:numFmt w:val="upperRoman"/>
      <w:pStyle w:val="StyleHeading1Left0Firstline01"/>
      <w:lvlText w:val="%1."/>
      <w:lvlJc w:val="left"/>
      <w:pPr>
        <w:tabs>
          <w:tab w:val="num" w:pos="1080"/>
        </w:tabs>
        <w:ind w:left="1080" w:hanging="360"/>
      </w:pPr>
      <w:rPr>
        <w:rFonts w:cs="Times New Roman" w:hint="default"/>
      </w:rPr>
    </w:lvl>
    <w:lvl w:ilvl="1" w:tplc="56100D10">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543FEE"/>
    <w:multiLevelType w:val="hybridMultilevel"/>
    <w:tmpl w:val="895C05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C1BD8"/>
    <w:multiLevelType w:val="hybridMultilevel"/>
    <w:tmpl w:val="D7A215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A4F20"/>
    <w:multiLevelType w:val="hybridMultilevel"/>
    <w:tmpl w:val="0C10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32CC1"/>
    <w:multiLevelType w:val="multilevel"/>
    <w:tmpl w:val="26F03E8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30181E"/>
    <w:multiLevelType w:val="hybridMultilevel"/>
    <w:tmpl w:val="FE025620"/>
    <w:lvl w:ilvl="0" w:tplc="909AFF16">
      <w:start w:val="1"/>
      <w:numFmt w:val="decimal"/>
      <w:lvlText w:val="%1."/>
      <w:lvlJc w:val="left"/>
      <w:pPr>
        <w:ind w:left="1020" w:hanging="360"/>
      </w:pPr>
    </w:lvl>
    <w:lvl w:ilvl="1" w:tplc="B1F8E85C">
      <w:start w:val="1"/>
      <w:numFmt w:val="decimal"/>
      <w:lvlText w:val="%2."/>
      <w:lvlJc w:val="left"/>
      <w:pPr>
        <w:ind w:left="1020" w:hanging="360"/>
      </w:pPr>
    </w:lvl>
    <w:lvl w:ilvl="2" w:tplc="D818C540">
      <w:start w:val="1"/>
      <w:numFmt w:val="decimal"/>
      <w:lvlText w:val="%3."/>
      <w:lvlJc w:val="left"/>
      <w:pPr>
        <w:ind w:left="1020" w:hanging="360"/>
      </w:pPr>
    </w:lvl>
    <w:lvl w:ilvl="3" w:tplc="B2C486CC">
      <w:start w:val="1"/>
      <w:numFmt w:val="decimal"/>
      <w:lvlText w:val="%4."/>
      <w:lvlJc w:val="left"/>
      <w:pPr>
        <w:ind w:left="1020" w:hanging="360"/>
      </w:pPr>
    </w:lvl>
    <w:lvl w:ilvl="4" w:tplc="CC86C3D6">
      <w:start w:val="1"/>
      <w:numFmt w:val="decimal"/>
      <w:lvlText w:val="%5."/>
      <w:lvlJc w:val="left"/>
      <w:pPr>
        <w:ind w:left="1020" w:hanging="360"/>
      </w:pPr>
    </w:lvl>
    <w:lvl w:ilvl="5" w:tplc="6982FAFE">
      <w:start w:val="1"/>
      <w:numFmt w:val="decimal"/>
      <w:lvlText w:val="%6."/>
      <w:lvlJc w:val="left"/>
      <w:pPr>
        <w:ind w:left="1020" w:hanging="360"/>
      </w:pPr>
    </w:lvl>
    <w:lvl w:ilvl="6" w:tplc="87AC388A">
      <w:start w:val="1"/>
      <w:numFmt w:val="decimal"/>
      <w:lvlText w:val="%7."/>
      <w:lvlJc w:val="left"/>
      <w:pPr>
        <w:ind w:left="1020" w:hanging="360"/>
      </w:pPr>
    </w:lvl>
    <w:lvl w:ilvl="7" w:tplc="74704A0E">
      <w:start w:val="1"/>
      <w:numFmt w:val="decimal"/>
      <w:lvlText w:val="%8."/>
      <w:lvlJc w:val="left"/>
      <w:pPr>
        <w:ind w:left="1020" w:hanging="360"/>
      </w:pPr>
    </w:lvl>
    <w:lvl w:ilvl="8" w:tplc="6E1CC8E4">
      <w:start w:val="1"/>
      <w:numFmt w:val="decimal"/>
      <w:lvlText w:val="%9."/>
      <w:lvlJc w:val="left"/>
      <w:pPr>
        <w:ind w:left="1020" w:hanging="360"/>
      </w:pPr>
    </w:lvl>
  </w:abstractNum>
  <w:abstractNum w:abstractNumId="9" w15:restartNumberingAfterBreak="0">
    <w:nsid w:val="14622613"/>
    <w:multiLevelType w:val="multilevel"/>
    <w:tmpl w:val="BD6E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F76F06"/>
    <w:multiLevelType w:val="multilevel"/>
    <w:tmpl w:val="2D6CEBF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DC4348"/>
    <w:multiLevelType w:val="hybridMultilevel"/>
    <w:tmpl w:val="EB74737A"/>
    <w:lvl w:ilvl="0" w:tplc="6DF8446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03DC9"/>
    <w:multiLevelType w:val="multilevel"/>
    <w:tmpl w:val="143C8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64AF9"/>
    <w:multiLevelType w:val="hybridMultilevel"/>
    <w:tmpl w:val="D48C8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66300"/>
    <w:multiLevelType w:val="hybridMultilevel"/>
    <w:tmpl w:val="60A889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E12BA"/>
    <w:multiLevelType w:val="hybridMultilevel"/>
    <w:tmpl w:val="60365820"/>
    <w:lvl w:ilvl="0" w:tplc="8F7AB68E">
      <w:start w:val="1"/>
      <w:numFmt w:val="bullet"/>
      <w:pStyle w:val="StyleStyleHeading1Calibri12ptAfter0ptBefore0pt"/>
      <w:lvlText w:val=""/>
      <w:lvlJc w:val="left"/>
      <w:pPr>
        <w:tabs>
          <w:tab w:val="num" w:pos="360"/>
        </w:tabs>
        <w:ind w:left="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DD22E9"/>
    <w:multiLevelType w:val="hybridMultilevel"/>
    <w:tmpl w:val="0D361724"/>
    <w:lvl w:ilvl="0" w:tplc="6DF8446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67CEC"/>
    <w:multiLevelType w:val="multilevel"/>
    <w:tmpl w:val="5C5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744132"/>
    <w:multiLevelType w:val="multilevel"/>
    <w:tmpl w:val="B5AE58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0458A0"/>
    <w:multiLevelType w:val="hybridMultilevel"/>
    <w:tmpl w:val="966065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328B3"/>
    <w:multiLevelType w:val="hybridMultilevel"/>
    <w:tmpl w:val="327C4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2B7719"/>
    <w:multiLevelType w:val="multilevel"/>
    <w:tmpl w:val="9934D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E1E7F"/>
    <w:multiLevelType w:val="multilevel"/>
    <w:tmpl w:val="B44C7120"/>
    <w:lvl w:ilvl="0">
      <w:start w:val="1"/>
      <w:numFmt w:val="decimal"/>
      <w:pStyle w:val="Heading1"/>
      <w:lvlText w:val="%1."/>
      <w:lvlJc w:val="left"/>
      <w:pPr>
        <w:ind w:left="360" w:hanging="360"/>
      </w:pPr>
      <w:rPr>
        <w:rFonts w:hint="default"/>
        <w:b/>
        <w:bCs/>
        <w:i w:val="0"/>
        <w:iCs w:val="0"/>
        <w:color w:val="1F497D"/>
        <w:sz w:val="28"/>
        <w:szCs w:val="28"/>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8B83C04"/>
    <w:multiLevelType w:val="multilevel"/>
    <w:tmpl w:val="5CF6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9655E0"/>
    <w:multiLevelType w:val="multilevel"/>
    <w:tmpl w:val="9D8A5D0E"/>
    <w:lvl w:ilvl="0">
      <w:start w:val="1"/>
      <w:numFmt w:val="decimal"/>
      <w:pStyle w:val="StyleHeading1Before12pt"/>
      <w:lvlText w:val="%1."/>
      <w:lvlJc w:val="left"/>
      <w:pPr>
        <w:tabs>
          <w:tab w:val="num" w:pos="1080"/>
        </w:tabs>
        <w:ind w:left="1080" w:hanging="720"/>
      </w:pPr>
      <w:rPr>
        <w:rFonts w:ascii="Calibri" w:hAnsi="Calibri" w:cs="Times New Roman" w:hint="default"/>
        <w:b/>
        <w:i w:val="0"/>
        <w:color w:val="auto"/>
        <w:sz w:val="28"/>
      </w:rPr>
    </w:lvl>
    <w:lvl w:ilvl="1">
      <w:start w:val="1"/>
      <w:numFmt w:val="decimal"/>
      <w:pStyle w:val="StyleHeading2Left0Hanging03BeforeAutoAfter"/>
      <w:lvlText w:val="%1.%2"/>
      <w:lvlJc w:val="left"/>
      <w:pPr>
        <w:tabs>
          <w:tab w:val="num" w:pos="1080"/>
        </w:tabs>
        <w:ind w:left="1080" w:hanging="720"/>
      </w:pPr>
      <w:rPr>
        <w:rFonts w:cs="Times New Roman" w:hint="default"/>
      </w:rPr>
    </w:lvl>
    <w:lvl w:ilvl="2">
      <w:start w:val="1"/>
      <w:numFmt w:val="decimal"/>
      <w:pStyle w:val="Heading3"/>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25" w15:restartNumberingAfterBreak="0">
    <w:nsid w:val="3D5772FF"/>
    <w:multiLevelType w:val="hybridMultilevel"/>
    <w:tmpl w:val="4EE64376"/>
    <w:lvl w:ilvl="0" w:tplc="056A2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297543"/>
    <w:multiLevelType w:val="hybridMultilevel"/>
    <w:tmpl w:val="F9B2C2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A300D8"/>
    <w:multiLevelType w:val="multilevel"/>
    <w:tmpl w:val="3636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346C13"/>
    <w:multiLevelType w:val="hybridMultilevel"/>
    <w:tmpl w:val="9170F39E"/>
    <w:lvl w:ilvl="0" w:tplc="7450B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925FA"/>
    <w:multiLevelType w:val="multilevel"/>
    <w:tmpl w:val="2A464CB6"/>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F941EB"/>
    <w:multiLevelType w:val="multilevel"/>
    <w:tmpl w:val="2398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05344"/>
    <w:multiLevelType w:val="multilevel"/>
    <w:tmpl w:val="52AE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69359C"/>
    <w:multiLevelType w:val="hybridMultilevel"/>
    <w:tmpl w:val="A4ACEEAC"/>
    <w:lvl w:ilvl="0" w:tplc="BAA27504">
      <w:start w:val="1"/>
      <w:numFmt w:val="decimal"/>
      <w:lvlText w:val="%1."/>
      <w:lvlJc w:val="left"/>
      <w:pPr>
        <w:ind w:left="1020" w:hanging="360"/>
      </w:pPr>
    </w:lvl>
    <w:lvl w:ilvl="1" w:tplc="B554D5F6">
      <w:start w:val="1"/>
      <w:numFmt w:val="decimal"/>
      <w:lvlText w:val="%2."/>
      <w:lvlJc w:val="left"/>
      <w:pPr>
        <w:ind w:left="1020" w:hanging="360"/>
      </w:pPr>
    </w:lvl>
    <w:lvl w:ilvl="2" w:tplc="C0F03454">
      <w:start w:val="1"/>
      <w:numFmt w:val="decimal"/>
      <w:lvlText w:val="%3."/>
      <w:lvlJc w:val="left"/>
      <w:pPr>
        <w:ind w:left="1020" w:hanging="360"/>
      </w:pPr>
    </w:lvl>
    <w:lvl w:ilvl="3" w:tplc="CB480EDC">
      <w:start w:val="1"/>
      <w:numFmt w:val="decimal"/>
      <w:lvlText w:val="%4."/>
      <w:lvlJc w:val="left"/>
      <w:pPr>
        <w:ind w:left="1020" w:hanging="360"/>
      </w:pPr>
    </w:lvl>
    <w:lvl w:ilvl="4" w:tplc="4DA04E18">
      <w:start w:val="1"/>
      <w:numFmt w:val="decimal"/>
      <w:lvlText w:val="%5."/>
      <w:lvlJc w:val="left"/>
      <w:pPr>
        <w:ind w:left="1020" w:hanging="360"/>
      </w:pPr>
    </w:lvl>
    <w:lvl w:ilvl="5" w:tplc="444A4890">
      <w:start w:val="1"/>
      <w:numFmt w:val="decimal"/>
      <w:lvlText w:val="%6."/>
      <w:lvlJc w:val="left"/>
      <w:pPr>
        <w:ind w:left="1020" w:hanging="360"/>
      </w:pPr>
    </w:lvl>
    <w:lvl w:ilvl="6" w:tplc="0ADA9604">
      <w:start w:val="1"/>
      <w:numFmt w:val="decimal"/>
      <w:lvlText w:val="%7."/>
      <w:lvlJc w:val="left"/>
      <w:pPr>
        <w:ind w:left="1020" w:hanging="360"/>
      </w:pPr>
    </w:lvl>
    <w:lvl w:ilvl="7" w:tplc="7FAE92B4">
      <w:start w:val="1"/>
      <w:numFmt w:val="decimal"/>
      <w:lvlText w:val="%8."/>
      <w:lvlJc w:val="left"/>
      <w:pPr>
        <w:ind w:left="1020" w:hanging="360"/>
      </w:pPr>
    </w:lvl>
    <w:lvl w:ilvl="8" w:tplc="7DA2227A">
      <w:start w:val="1"/>
      <w:numFmt w:val="decimal"/>
      <w:lvlText w:val="%9."/>
      <w:lvlJc w:val="left"/>
      <w:pPr>
        <w:ind w:left="1020" w:hanging="360"/>
      </w:pPr>
    </w:lvl>
  </w:abstractNum>
  <w:abstractNum w:abstractNumId="33" w15:restartNumberingAfterBreak="0">
    <w:nsid w:val="61E43625"/>
    <w:multiLevelType w:val="hybridMultilevel"/>
    <w:tmpl w:val="DB921DB4"/>
    <w:lvl w:ilvl="0" w:tplc="C27CB9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43CBF"/>
    <w:multiLevelType w:val="hybridMultilevel"/>
    <w:tmpl w:val="4F221B28"/>
    <w:lvl w:ilvl="0" w:tplc="FFFFFFFF">
      <w:start w:val="5"/>
      <w:numFmt w:val="bullet"/>
      <w:lvlText w:val="-"/>
      <w:lvlJc w:val="left"/>
      <w:pPr>
        <w:ind w:left="720" w:hanging="360"/>
      </w:pPr>
      <w:rPr>
        <w:rFonts w:ascii="Calibri" w:eastAsia="Times New Roman" w:hAnsi="Calibri" w:cs="Calibri" w:hint="default"/>
      </w:rPr>
    </w:lvl>
    <w:lvl w:ilvl="1" w:tplc="6DF8446E">
      <w:start w:val="5"/>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6D9541C"/>
    <w:multiLevelType w:val="hybridMultilevel"/>
    <w:tmpl w:val="105626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17965"/>
    <w:multiLevelType w:val="multilevel"/>
    <w:tmpl w:val="3886C512"/>
    <w:lvl w:ilvl="0">
      <w:start w:val="1"/>
      <w:numFmt w:val="decimal"/>
      <w:pStyle w:val="StyleHeading1Calibri12ptAfter0pt"/>
      <w:lvlText w:val="%1."/>
      <w:lvlJc w:val="left"/>
      <w:pPr>
        <w:tabs>
          <w:tab w:val="num" w:pos="360"/>
        </w:tabs>
        <w:ind w:left="360" w:hanging="360"/>
      </w:pPr>
      <w:rPr>
        <w:rFonts w:ascii="Calibri" w:hAnsi="Calibri" w:cs="Times New Roman"/>
        <w:sz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C96756C"/>
    <w:multiLevelType w:val="multilevel"/>
    <w:tmpl w:val="268C372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A65C6E"/>
    <w:multiLevelType w:val="hybridMultilevel"/>
    <w:tmpl w:val="804A31B4"/>
    <w:lvl w:ilvl="0" w:tplc="6DF8446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C0C49"/>
    <w:multiLevelType w:val="hybridMultilevel"/>
    <w:tmpl w:val="D6921F9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D32D75"/>
    <w:multiLevelType w:val="hybridMultilevel"/>
    <w:tmpl w:val="9E06E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272689">
    <w:abstractNumId w:val="36"/>
  </w:num>
  <w:num w:numId="2" w16cid:durableId="591933281">
    <w:abstractNumId w:val="15"/>
  </w:num>
  <w:num w:numId="3" w16cid:durableId="749621710">
    <w:abstractNumId w:val="24"/>
  </w:num>
  <w:num w:numId="4" w16cid:durableId="1185821260">
    <w:abstractNumId w:val="22"/>
  </w:num>
  <w:num w:numId="5" w16cid:durableId="2069306726">
    <w:abstractNumId w:val="3"/>
  </w:num>
  <w:num w:numId="6" w16cid:durableId="579561102">
    <w:abstractNumId w:val="6"/>
  </w:num>
  <w:num w:numId="7" w16cid:durableId="1251821">
    <w:abstractNumId w:val="25"/>
  </w:num>
  <w:num w:numId="8" w16cid:durableId="1681618138">
    <w:abstractNumId w:val="28"/>
  </w:num>
  <w:num w:numId="9" w16cid:durableId="2059165223">
    <w:abstractNumId w:val="27"/>
  </w:num>
  <w:num w:numId="10" w16cid:durableId="613056246">
    <w:abstractNumId w:val="31"/>
  </w:num>
  <w:num w:numId="11" w16cid:durableId="145439362">
    <w:abstractNumId w:val="33"/>
  </w:num>
  <w:num w:numId="12" w16cid:durableId="1403870841">
    <w:abstractNumId w:val="9"/>
  </w:num>
  <w:num w:numId="13" w16cid:durableId="24330245">
    <w:abstractNumId w:val="30"/>
  </w:num>
  <w:num w:numId="14" w16cid:durableId="98334172">
    <w:abstractNumId w:val="21"/>
  </w:num>
  <w:num w:numId="15" w16cid:durableId="1015183472">
    <w:abstractNumId w:val="17"/>
  </w:num>
  <w:num w:numId="16" w16cid:durableId="989216117">
    <w:abstractNumId w:val="38"/>
  </w:num>
  <w:num w:numId="17" w16cid:durableId="840706190">
    <w:abstractNumId w:val="12"/>
  </w:num>
  <w:num w:numId="18" w16cid:durableId="1117061377">
    <w:abstractNumId w:val="22"/>
  </w:num>
  <w:num w:numId="19" w16cid:durableId="672413706">
    <w:abstractNumId w:val="32"/>
  </w:num>
  <w:num w:numId="20" w16cid:durableId="1757748094">
    <w:abstractNumId w:val="8"/>
  </w:num>
  <w:num w:numId="21" w16cid:durableId="559637982">
    <w:abstractNumId w:val="23"/>
  </w:num>
  <w:num w:numId="22" w16cid:durableId="315650934">
    <w:abstractNumId w:val="18"/>
  </w:num>
  <w:num w:numId="23" w16cid:durableId="1072505614">
    <w:abstractNumId w:val="37"/>
  </w:num>
  <w:num w:numId="24" w16cid:durableId="2022007413">
    <w:abstractNumId w:val="10"/>
  </w:num>
  <w:num w:numId="25" w16cid:durableId="608777049">
    <w:abstractNumId w:val="7"/>
  </w:num>
  <w:num w:numId="26" w16cid:durableId="1729067861">
    <w:abstractNumId w:val="29"/>
  </w:num>
  <w:num w:numId="27" w16cid:durableId="456029601">
    <w:abstractNumId w:val="20"/>
  </w:num>
  <w:num w:numId="28" w16cid:durableId="1291521491">
    <w:abstractNumId w:val="40"/>
  </w:num>
  <w:num w:numId="29" w16cid:durableId="1526097423">
    <w:abstractNumId w:val="16"/>
  </w:num>
  <w:num w:numId="30" w16cid:durableId="388067767">
    <w:abstractNumId w:val="34"/>
  </w:num>
  <w:num w:numId="31" w16cid:durableId="1957448555">
    <w:abstractNumId w:val="26"/>
  </w:num>
  <w:num w:numId="32" w16cid:durableId="53241819">
    <w:abstractNumId w:val="5"/>
  </w:num>
  <w:num w:numId="33" w16cid:durableId="472916033">
    <w:abstractNumId w:val="14"/>
  </w:num>
  <w:num w:numId="34" w16cid:durableId="2054226330">
    <w:abstractNumId w:val="19"/>
  </w:num>
  <w:num w:numId="35" w16cid:durableId="1574117802">
    <w:abstractNumId w:val="35"/>
  </w:num>
  <w:num w:numId="36" w16cid:durableId="1380320474">
    <w:abstractNumId w:val="13"/>
  </w:num>
  <w:num w:numId="37" w16cid:durableId="8603207">
    <w:abstractNumId w:val="0"/>
  </w:num>
  <w:num w:numId="38" w16cid:durableId="1794250946">
    <w:abstractNumId w:val="39"/>
  </w:num>
  <w:num w:numId="39" w16cid:durableId="1655716623">
    <w:abstractNumId w:val="11"/>
  </w:num>
  <w:num w:numId="40" w16cid:durableId="928270270">
    <w:abstractNumId w:val="4"/>
  </w:num>
  <w:num w:numId="41" w16cid:durableId="205897194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30"/>
    <w:rsid w:val="00000384"/>
    <w:rsid w:val="000004A0"/>
    <w:rsid w:val="00001B8F"/>
    <w:rsid w:val="000027B1"/>
    <w:rsid w:val="000027D9"/>
    <w:rsid w:val="00003052"/>
    <w:rsid w:val="00003ECC"/>
    <w:rsid w:val="00004A42"/>
    <w:rsid w:val="00004C89"/>
    <w:rsid w:val="00005B53"/>
    <w:rsid w:val="00005BAE"/>
    <w:rsid w:val="0000611B"/>
    <w:rsid w:val="000067E1"/>
    <w:rsid w:val="00006E30"/>
    <w:rsid w:val="000107B2"/>
    <w:rsid w:val="00010A50"/>
    <w:rsid w:val="00010DB8"/>
    <w:rsid w:val="00011099"/>
    <w:rsid w:val="000112C3"/>
    <w:rsid w:val="00011778"/>
    <w:rsid w:val="0001181D"/>
    <w:rsid w:val="00013DE4"/>
    <w:rsid w:val="00013DEE"/>
    <w:rsid w:val="000149AE"/>
    <w:rsid w:val="000162FA"/>
    <w:rsid w:val="000165BD"/>
    <w:rsid w:val="0001736B"/>
    <w:rsid w:val="000174D8"/>
    <w:rsid w:val="000200D6"/>
    <w:rsid w:val="00020248"/>
    <w:rsid w:val="000202C2"/>
    <w:rsid w:val="000207D1"/>
    <w:rsid w:val="00020B6A"/>
    <w:rsid w:val="00020EAF"/>
    <w:rsid w:val="00021672"/>
    <w:rsid w:val="00021952"/>
    <w:rsid w:val="000221B3"/>
    <w:rsid w:val="00022504"/>
    <w:rsid w:val="00022727"/>
    <w:rsid w:val="00022BD9"/>
    <w:rsid w:val="000231F6"/>
    <w:rsid w:val="00023482"/>
    <w:rsid w:val="000249CA"/>
    <w:rsid w:val="000254C9"/>
    <w:rsid w:val="00026907"/>
    <w:rsid w:val="00026DA8"/>
    <w:rsid w:val="000302F9"/>
    <w:rsid w:val="000312D5"/>
    <w:rsid w:val="00032319"/>
    <w:rsid w:val="00032AA4"/>
    <w:rsid w:val="00034C73"/>
    <w:rsid w:val="00035357"/>
    <w:rsid w:val="00035E09"/>
    <w:rsid w:val="00036255"/>
    <w:rsid w:val="00036271"/>
    <w:rsid w:val="00036459"/>
    <w:rsid w:val="000368E2"/>
    <w:rsid w:val="00040323"/>
    <w:rsid w:val="00041813"/>
    <w:rsid w:val="0004205A"/>
    <w:rsid w:val="00042A55"/>
    <w:rsid w:val="00042C17"/>
    <w:rsid w:val="00044BBA"/>
    <w:rsid w:val="00045681"/>
    <w:rsid w:val="00045C3E"/>
    <w:rsid w:val="00046082"/>
    <w:rsid w:val="0004699A"/>
    <w:rsid w:val="00046E42"/>
    <w:rsid w:val="000476AC"/>
    <w:rsid w:val="00051876"/>
    <w:rsid w:val="00051C24"/>
    <w:rsid w:val="00052B35"/>
    <w:rsid w:val="00052E46"/>
    <w:rsid w:val="00054863"/>
    <w:rsid w:val="000555A1"/>
    <w:rsid w:val="00055A21"/>
    <w:rsid w:val="00056049"/>
    <w:rsid w:val="0005665B"/>
    <w:rsid w:val="00057044"/>
    <w:rsid w:val="00060D18"/>
    <w:rsid w:val="00060D8D"/>
    <w:rsid w:val="00063761"/>
    <w:rsid w:val="00063EC2"/>
    <w:rsid w:val="0006476B"/>
    <w:rsid w:val="00064BB1"/>
    <w:rsid w:val="00064C37"/>
    <w:rsid w:val="000663FC"/>
    <w:rsid w:val="000665D2"/>
    <w:rsid w:val="00066D44"/>
    <w:rsid w:val="00067B81"/>
    <w:rsid w:val="00067E7D"/>
    <w:rsid w:val="0007098E"/>
    <w:rsid w:val="000713D1"/>
    <w:rsid w:val="00071DB3"/>
    <w:rsid w:val="000734D9"/>
    <w:rsid w:val="00074EC1"/>
    <w:rsid w:val="00075D96"/>
    <w:rsid w:val="000765F7"/>
    <w:rsid w:val="000767E8"/>
    <w:rsid w:val="00076830"/>
    <w:rsid w:val="00077C07"/>
    <w:rsid w:val="0008019F"/>
    <w:rsid w:val="00080233"/>
    <w:rsid w:val="000805F2"/>
    <w:rsid w:val="00080797"/>
    <w:rsid w:val="00082894"/>
    <w:rsid w:val="00083DAF"/>
    <w:rsid w:val="00083EF5"/>
    <w:rsid w:val="00084000"/>
    <w:rsid w:val="000850D6"/>
    <w:rsid w:val="000851C5"/>
    <w:rsid w:val="00085D75"/>
    <w:rsid w:val="00086628"/>
    <w:rsid w:val="000870D4"/>
    <w:rsid w:val="00090A02"/>
    <w:rsid w:val="000911E9"/>
    <w:rsid w:val="00091D77"/>
    <w:rsid w:val="00091D8A"/>
    <w:rsid w:val="0009354B"/>
    <w:rsid w:val="000940B5"/>
    <w:rsid w:val="00094CDA"/>
    <w:rsid w:val="00094D47"/>
    <w:rsid w:val="00094E1F"/>
    <w:rsid w:val="00096616"/>
    <w:rsid w:val="000977F3"/>
    <w:rsid w:val="00097E56"/>
    <w:rsid w:val="000A06A2"/>
    <w:rsid w:val="000A2922"/>
    <w:rsid w:val="000A49F6"/>
    <w:rsid w:val="000A4D91"/>
    <w:rsid w:val="000A5970"/>
    <w:rsid w:val="000B0633"/>
    <w:rsid w:val="000B1324"/>
    <w:rsid w:val="000B326E"/>
    <w:rsid w:val="000B364B"/>
    <w:rsid w:val="000B45CA"/>
    <w:rsid w:val="000B4B81"/>
    <w:rsid w:val="000B6DC2"/>
    <w:rsid w:val="000C11C0"/>
    <w:rsid w:val="000C2088"/>
    <w:rsid w:val="000C2BA9"/>
    <w:rsid w:val="000C3E5A"/>
    <w:rsid w:val="000C4DCF"/>
    <w:rsid w:val="000C5263"/>
    <w:rsid w:val="000C667E"/>
    <w:rsid w:val="000C7C7B"/>
    <w:rsid w:val="000D0234"/>
    <w:rsid w:val="000D0970"/>
    <w:rsid w:val="000D11FE"/>
    <w:rsid w:val="000D159A"/>
    <w:rsid w:val="000D3964"/>
    <w:rsid w:val="000D4134"/>
    <w:rsid w:val="000D5297"/>
    <w:rsid w:val="000D56D0"/>
    <w:rsid w:val="000D6E87"/>
    <w:rsid w:val="000D7927"/>
    <w:rsid w:val="000E0134"/>
    <w:rsid w:val="000E0365"/>
    <w:rsid w:val="000E10DA"/>
    <w:rsid w:val="000E1371"/>
    <w:rsid w:val="000E2821"/>
    <w:rsid w:val="000E2C47"/>
    <w:rsid w:val="000E33C7"/>
    <w:rsid w:val="000E3BF6"/>
    <w:rsid w:val="000E4966"/>
    <w:rsid w:val="000E5139"/>
    <w:rsid w:val="000E51F2"/>
    <w:rsid w:val="000E5F4C"/>
    <w:rsid w:val="000E7115"/>
    <w:rsid w:val="000F031C"/>
    <w:rsid w:val="000F0394"/>
    <w:rsid w:val="000F101C"/>
    <w:rsid w:val="000F18D6"/>
    <w:rsid w:val="000F1F53"/>
    <w:rsid w:val="000F3297"/>
    <w:rsid w:val="000F3E74"/>
    <w:rsid w:val="000F4CB4"/>
    <w:rsid w:val="000F5AB5"/>
    <w:rsid w:val="0010061B"/>
    <w:rsid w:val="001006AF"/>
    <w:rsid w:val="00100AEC"/>
    <w:rsid w:val="0010242C"/>
    <w:rsid w:val="001028EA"/>
    <w:rsid w:val="00103CB7"/>
    <w:rsid w:val="0010479C"/>
    <w:rsid w:val="001061C4"/>
    <w:rsid w:val="001063DD"/>
    <w:rsid w:val="001068F6"/>
    <w:rsid w:val="00106D40"/>
    <w:rsid w:val="0011081E"/>
    <w:rsid w:val="001120DE"/>
    <w:rsid w:val="00112A47"/>
    <w:rsid w:val="00112CD6"/>
    <w:rsid w:val="00112CDB"/>
    <w:rsid w:val="00113048"/>
    <w:rsid w:val="00113C55"/>
    <w:rsid w:val="0011532E"/>
    <w:rsid w:val="001159ED"/>
    <w:rsid w:val="00117779"/>
    <w:rsid w:val="00117F3D"/>
    <w:rsid w:val="001201A2"/>
    <w:rsid w:val="001210F7"/>
    <w:rsid w:val="00121CCE"/>
    <w:rsid w:val="0012302A"/>
    <w:rsid w:val="00124FE6"/>
    <w:rsid w:val="001250E5"/>
    <w:rsid w:val="001262C6"/>
    <w:rsid w:val="00126882"/>
    <w:rsid w:val="001300E8"/>
    <w:rsid w:val="00132285"/>
    <w:rsid w:val="001324D9"/>
    <w:rsid w:val="001325C4"/>
    <w:rsid w:val="00132718"/>
    <w:rsid w:val="00132D52"/>
    <w:rsid w:val="0013447B"/>
    <w:rsid w:val="00134564"/>
    <w:rsid w:val="0013489F"/>
    <w:rsid w:val="00135A5A"/>
    <w:rsid w:val="001363F9"/>
    <w:rsid w:val="00137077"/>
    <w:rsid w:val="00137EAC"/>
    <w:rsid w:val="001402F8"/>
    <w:rsid w:val="00140D58"/>
    <w:rsid w:val="00141EBD"/>
    <w:rsid w:val="0014201D"/>
    <w:rsid w:val="001449CA"/>
    <w:rsid w:val="00144A44"/>
    <w:rsid w:val="00146A18"/>
    <w:rsid w:val="00147903"/>
    <w:rsid w:val="00147A8F"/>
    <w:rsid w:val="00150856"/>
    <w:rsid w:val="0015142A"/>
    <w:rsid w:val="001534FC"/>
    <w:rsid w:val="00153D50"/>
    <w:rsid w:val="00154409"/>
    <w:rsid w:val="001559A0"/>
    <w:rsid w:val="00156532"/>
    <w:rsid w:val="00156666"/>
    <w:rsid w:val="001616CE"/>
    <w:rsid w:val="001634C7"/>
    <w:rsid w:val="0016388E"/>
    <w:rsid w:val="001642BF"/>
    <w:rsid w:val="0016487E"/>
    <w:rsid w:val="00167DF7"/>
    <w:rsid w:val="00170301"/>
    <w:rsid w:val="00170800"/>
    <w:rsid w:val="001709AD"/>
    <w:rsid w:val="00170E1C"/>
    <w:rsid w:val="00171065"/>
    <w:rsid w:val="00171F30"/>
    <w:rsid w:val="00172787"/>
    <w:rsid w:val="00172C1B"/>
    <w:rsid w:val="00172E2C"/>
    <w:rsid w:val="001766F4"/>
    <w:rsid w:val="00177BA8"/>
    <w:rsid w:val="00177DD4"/>
    <w:rsid w:val="00177F0F"/>
    <w:rsid w:val="00180390"/>
    <w:rsid w:val="00180F91"/>
    <w:rsid w:val="00181EDF"/>
    <w:rsid w:val="001823C2"/>
    <w:rsid w:val="001829E0"/>
    <w:rsid w:val="00182BB2"/>
    <w:rsid w:val="00182C3A"/>
    <w:rsid w:val="00182CEF"/>
    <w:rsid w:val="001834B7"/>
    <w:rsid w:val="001846BB"/>
    <w:rsid w:val="00185006"/>
    <w:rsid w:val="0018569E"/>
    <w:rsid w:val="00185D59"/>
    <w:rsid w:val="00186366"/>
    <w:rsid w:val="001868C9"/>
    <w:rsid w:val="00186B32"/>
    <w:rsid w:val="0018712F"/>
    <w:rsid w:val="0018782E"/>
    <w:rsid w:val="00187AE4"/>
    <w:rsid w:val="001906A5"/>
    <w:rsid w:val="00190850"/>
    <w:rsid w:val="00190D8C"/>
    <w:rsid w:val="00190F2E"/>
    <w:rsid w:val="00191000"/>
    <w:rsid w:val="001918CA"/>
    <w:rsid w:val="00192EE9"/>
    <w:rsid w:val="00193602"/>
    <w:rsid w:val="00193848"/>
    <w:rsid w:val="001949BB"/>
    <w:rsid w:val="0019594B"/>
    <w:rsid w:val="00195C26"/>
    <w:rsid w:val="00196968"/>
    <w:rsid w:val="00196CD9"/>
    <w:rsid w:val="001970BF"/>
    <w:rsid w:val="001975DC"/>
    <w:rsid w:val="001979D9"/>
    <w:rsid w:val="001A2ACA"/>
    <w:rsid w:val="001A2E81"/>
    <w:rsid w:val="001A3588"/>
    <w:rsid w:val="001A3A1D"/>
    <w:rsid w:val="001A485E"/>
    <w:rsid w:val="001A5E99"/>
    <w:rsid w:val="001B173C"/>
    <w:rsid w:val="001B3B77"/>
    <w:rsid w:val="001B3E14"/>
    <w:rsid w:val="001B4375"/>
    <w:rsid w:val="001B43EC"/>
    <w:rsid w:val="001B4C35"/>
    <w:rsid w:val="001B5175"/>
    <w:rsid w:val="001B560B"/>
    <w:rsid w:val="001B62FE"/>
    <w:rsid w:val="001B67A1"/>
    <w:rsid w:val="001B7A16"/>
    <w:rsid w:val="001B7DB3"/>
    <w:rsid w:val="001C05B3"/>
    <w:rsid w:val="001C0B3C"/>
    <w:rsid w:val="001C103E"/>
    <w:rsid w:val="001C12D1"/>
    <w:rsid w:val="001C13C7"/>
    <w:rsid w:val="001C1C13"/>
    <w:rsid w:val="001C2136"/>
    <w:rsid w:val="001C263E"/>
    <w:rsid w:val="001C3158"/>
    <w:rsid w:val="001C3471"/>
    <w:rsid w:val="001C4269"/>
    <w:rsid w:val="001C5B88"/>
    <w:rsid w:val="001C73A5"/>
    <w:rsid w:val="001C7B41"/>
    <w:rsid w:val="001D08B2"/>
    <w:rsid w:val="001D0E77"/>
    <w:rsid w:val="001D1063"/>
    <w:rsid w:val="001D10A2"/>
    <w:rsid w:val="001D1B9C"/>
    <w:rsid w:val="001D3B69"/>
    <w:rsid w:val="001D4BAA"/>
    <w:rsid w:val="001D5B0E"/>
    <w:rsid w:val="001E03D0"/>
    <w:rsid w:val="001E10AA"/>
    <w:rsid w:val="001E140C"/>
    <w:rsid w:val="001E1745"/>
    <w:rsid w:val="001E24A5"/>
    <w:rsid w:val="001E3994"/>
    <w:rsid w:val="001E56DD"/>
    <w:rsid w:val="001E5C89"/>
    <w:rsid w:val="001E755A"/>
    <w:rsid w:val="001E767C"/>
    <w:rsid w:val="001E7BF7"/>
    <w:rsid w:val="001F0B31"/>
    <w:rsid w:val="001F0C34"/>
    <w:rsid w:val="001F1732"/>
    <w:rsid w:val="001F1BDE"/>
    <w:rsid w:val="001F450B"/>
    <w:rsid w:val="001F49A4"/>
    <w:rsid w:val="001F529F"/>
    <w:rsid w:val="001F6C56"/>
    <w:rsid w:val="001F7188"/>
    <w:rsid w:val="001F761B"/>
    <w:rsid w:val="00200584"/>
    <w:rsid w:val="0020074E"/>
    <w:rsid w:val="00200943"/>
    <w:rsid w:val="00201B06"/>
    <w:rsid w:val="00202162"/>
    <w:rsid w:val="00202470"/>
    <w:rsid w:val="00202CD5"/>
    <w:rsid w:val="00202E32"/>
    <w:rsid w:val="00203D8E"/>
    <w:rsid w:val="00203E46"/>
    <w:rsid w:val="00204663"/>
    <w:rsid w:val="002069DB"/>
    <w:rsid w:val="00207F60"/>
    <w:rsid w:val="002103AD"/>
    <w:rsid w:val="0021067A"/>
    <w:rsid w:val="00210CE7"/>
    <w:rsid w:val="0021133D"/>
    <w:rsid w:val="002117E2"/>
    <w:rsid w:val="00211887"/>
    <w:rsid w:val="00211A75"/>
    <w:rsid w:val="00212260"/>
    <w:rsid w:val="00212286"/>
    <w:rsid w:val="00213150"/>
    <w:rsid w:val="00213671"/>
    <w:rsid w:val="002136F9"/>
    <w:rsid w:val="00213FD3"/>
    <w:rsid w:val="002153A8"/>
    <w:rsid w:val="002155C0"/>
    <w:rsid w:val="00215982"/>
    <w:rsid w:val="00216549"/>
    <w:rsid w:val="00221ECA"/>
    <w:rsid w:val="00223143"/>
    <w:rsid w:val="00223A41"/>
    <w:rsid w:val="002246AE"/>
    <w:rsid w:val="0022495F"/>
    <w:rsid w:val="002249B5"/>
    <w:rsid w:val="0022580E"/>
    <w:rsid w:val="00225819"/>
    <w:rsid w:val="00225A94"/>
    <w:rsid w:val="0023062B"/>
    <w:rsid w:val="00230B2A"/>
    <w:rsid w:val="00231213"/>
    <w:rsid w:val="0023211A"/>
    <w:rsid w:val="00233A2B"/>
    <w:rsid w:val="00234511"/>
    <w:rsid w:val="00234F49"/>
    <w:rsid w:val="00235278"/>
    <w:rsid w:val="00236833"/>
    <w:rsid w:val="00236EA4"/>
    <w:rsid w:val="0023781F"/>
    <w:rsid w:val="002378BE"/>
    <w:rsid w:val="00240DA8"/>
    <w:rsid w:val="00240F17"/>
    <w:rsid w:val="002410C0"/>
    <w:rsid w:val="002427ED"/>
    <w:rsid w:val="00243835"/>
    <w:rsid w:val="002438AE"/>
    <w:rsid w:val="00245E40"/>
    <w:rsid w:val="00246892"/>
    <w:rsid w:val="00246C75"/>
    <w:rsid w:val="00247259"/>
    <w:rsid w:val="00247653"/>
    <w:rsid w:val="002478CF"/>
    <w:rsid w:val="00247D1A"/>
    <w:rsid w:val="00250807"/>
    <w:rsid w:val="002514C2"/>
    <w:rsid w:val="00252AB2"/>
    <w:rsid w:val="002537D7"/>
    <w:rsid w:val="00255308"/>
    <w:rsid w:val="00255511"/>
    <w:rsid w:val="0025576F"/>
    <w:rsid w:val="00255BEA"/>
    <w:rsid w:val="002568C2"/>
    <w:rsid w:val="00256925"/>
    <w:rsid w:val="00256CE0"/>
    <w:rsid w:val="00256EDF"/>
    <w:rsid w:val="00257444"/>
    <w:rsid w:val="0025797B"/>
    <w:rsid w:val="00257F16"/>
    <w:rsid w:val="0026137A"/>
    <w:rsid w:val="0026215C"/>
    <w:rsid w:val="002626C9"/>
    <w:rsid w:val="00262932"/>
    <w:rsid w:val="00262F60"/>
    <w:rsid w:val="00263D36"/>
    <w:rsid w:val="0026404C"/>
    <w:rsid w:val="002646B1"/>
    <w:rsid w:val="00264B07"/>
    <w:rsid w:val="00265BB4"/>
    <w:rsid w:val="002660F5"/>
    <w:rsid w:val="0026670B"/>
    <w:rsid w:val="00267B6B"/>
    <w:rsid w:val="00267D66"/>
    <w:rsid w:val="00270F0B"/>
    <w:rsid w:val="002734B0"/>
    <w:rsid w:val="00274340"/>
    <w:rsid w:val="00274620"/>
    <w:rsid w:val="00274CEC"/>
    <w:rsid w:val="00274DC1"/>
    <w:rsid w:val="00275847"/>
    <w:rsid w:val="002760A6"/>
    <w:rsid w:val="00276189"/>
    <w:rsid w:val="002811AD"/>
    <w:rsid w:val="00281881"/>
    <w:rsid w:val="00282660"/>
    <w:rsid w:val="002832F9"/>
    <w:rsid w:val="00283EAC"/>
    <w:rsid w:val="002867D3"/>
    <w:rsid w:val="00287432"/>
    <w:rsid w:val="00290891"/>
    <w:rsid w:val="00290BD5"/>
    <w:rsid w:val="002911C5"/>
    <w:rsid w:val="00291CB1"/>
    <w:rsid w:val="00292557"/>
    <w:rsid w:val="002926CD"/>
    <w:rsid w:val="002936C4"/>
    <w:rsid w:val="00293C14"/>
    <w:rsid w:val="00293C60"/>
    <w:rsid w:val="0029586C"/>
    <w:rsid w:val="00296023"/>
    <w:rsid w:val="002962E9"/>
    <w:rsid w:val="00296DD1"/>
    <w:rsid w:val="002A0100"/>
    <w:rsid w:val="002A03C1"/>
    <w:rsid w:val="002A0662"/>
    <w:rsid w:val="002A0B45"/>
    <w:rsid w:val="002A0E04"/>
    <w:rsid w:val="002A1BFA"/>
    <w:rsid w:val="002A439A"/>
    <w:rsid w:val="002A4722"/>
    <w:rsid w:val="002A4A6A"/>
    <w:rsid w:val="002A4FE9"/>
    <w:rsid w:val="002A6A46"/>
    <w:rsid w:val="002A71DA"/>
    <w:rsid w:val="002B1D36"/>
    <w:rsid w:val="002B1F81"/>
    <w:rsid w:val="002B1F88"/>
    <w:rsid w:val="002B22A5"/>
    <w:rsid w:val="002B2942"/>
    <w:rsid w:val="002B44EC"/>
    <w:rsid w:val="002B48B4"/>
    <w:rsid w:val="002B4D76"/>
    <w:rsid w:val="002B5A1A"/>
    <w:rsid w:val="002B5B55"/>
    <w:rsid w:val="002B6876"/>
    <w:rsid w:val="002B692B"/>
    <w:rsid w:val="002B707C"/>
    <w:rsid w:val="002B7C40"/>
    <w:rsid w:val="002C127B"/>
    <w:rsid w:val="002C12EB"/>
    <w:rsid w:val="002C20A0"/>
    <w:rsid w:val="002C2230"/>
    <w:rsid w:val="002C251F"/>
    <w:rsid w:val="002C26DA"/>
    <w:rsid w:val="002C324B"/>
    <w:rsid w:val="002C56A6"/>
    <w:rsid w:val="002C6113"/>
    <w:rsid w:val="002C644B"/>
    <w:rsid w:val="002C693D"/>
    <w:rsid w:val="002C7B40"/>
    <w:rsid w:val="002C7DB1"/>
    <w:rsid w:val="002D05BB"/>
    <w:rsid w:val="002D0828"/>
    <w:rsid w:val="002D0A45"/>
    <w:rsid w:val="002D156F"/>
    <w:rsid w:val="002D1598"/>
    <w:rsid w:val="002D25CC"/>
    <w:rsid w:val="002D28E4"/>
    <w:rsid w:val="002D2C01"/>
    <w:rsid w:val="002D2C32"/>
    <w:rsid w:val="002D3489"/>
    <w:rsid w:val="002D3808"/>
    <w:rsid w:val="002D4889"/>
    <w:rsid w:val="002D4A8D"/>
    <w:rsid w:val="002D4FB6"/>
    <w:rsid w:val="002D5687"/>
    <w:rsid w:val="002D58EB"/>
    <w:rsid w:val="002D7A78"/>
    <w:rsid w:val="002D7F1E"/>
    <w:rsid w:val="002E0128"/>
    <w:rsid w:val="002E1241"/>
    <w:rsid w:val="002E210A"/>
    <w:rsid w:val="002E2229"/>
    <w:rsid w:val="002E3D55"/>
    <w:rsid w:val="002E3DEB"/>
    <w:rsid w:val="002E3ED7"/>
    <w:rsid w:val="002E4A2D"/>
    <w:rsid w:val="002E4D30"/>
    <w:rsid w:val="002E6AA9"/>
    <w:rsid w:val="002E7170"/>
    <w:rsid w:val="002E74AC"/>
    <w:rsid w:val="002E7543"/>
    <w:rsid w:val="002F2A23"/>
    <w:rsid w:val="002F3D86"/>
    <w:rsid w:val="002F46C2"/>
    <w:rsid w:val="002F6902"/>
    <w:rsid w:val="003000A4"/>
    <w:rsid w:val="00300AC1"/>
    <w:rsid w:val="00300E7D"/>
    <w:rsid w:val="003010D2"/>
    <w:rsid w:val="00301284"/>
    <w:rsid w:val="003035AD"/>
    <w:rsid w:val="003038E4"/>
    <w:rsid w:val="0030471E"/>
    <w:rsid w:val="00304B49"/>
    <w:rsid w:val="003054C7"/>
    <w:rsid w:val="0030550D"/>
    <w:rsid w:val="003065AD"/>
    <w:rsid w:val="00306A18"/>
    <w:rsid w:val="00307B9D"/>
    <w:rsid w:val="00310741"/>
    <w:rsid w:val="00310F6A"/>
    <w:rsid w:val="003115B5"/>
    <w:rsid w:val="00311743"/>
    <w:rsid w:val="00311BFB"/>
    <w:rsid w:val="00311E13"/>
    <w:rsid w:val="00312779"/>
    <w:rsid w:val="00312D83"/>
    <w:rsid w:val="003142CF"/>
    <w:rsid w:val="0031513A"/>
    <w:rsid w:val="003155C3"/>
    <w:rsid w:val="003167DD"/>
    <w:rsid w:val="00320E27"/>
    <w:rsid w:val="00320F3C"/>
    <w:rsid w:val="00321351"/>
    <w:rsid w:val="0032173D"/>
    <w:rsid w:val="00321882"/>
    <w:rsid w:val="00322843"/>
    <w:rsid w:val="003230A0"/>
    <w:rsid w:val="00323139"/>
    <w:rsid w:val="0032373D"/>
    <w:rsid w:val="00324C34"/>
    <w:rsid w:val="00326B0D"/>
    <w:rsid w:val="003273F3"/>
    <w:rsid w:val="0033073F"/>
    <w:rsid w:val="003307AA"/>
    <w:rsid w:val="00330D34"/>
    <w:rsid w:val="00330EE9"/>
    <w:rsid w:val="0033135A"/>
    <w:rsid w:val="00331F3A"/>
    <w:rsid w:val="003329CA"/>
    <w:rsid w:val="00333C31"/>
    <w:rsid w:val="00333F9D"/>
    <w:rsid w:val="00334856"/>
    <w:rsid w:val="00334A19"/>
    <w:rsid w:val="003353C7"/>
    <w:rsid w:val="003355A5"/>
    <w:rsid w:val="00335B85"/>
    <w:rsid w:val="00336CA4"/>
    <w:rsid w:val="0033720F"/>
    <w:rsid w:val="003400C8"/>
    <w:rsid w:val="00340775"/>
    <w:rsid w:val="00341C3C"/>
    <w:rsid w:val="003421F2"/>
    <w:rsid w:val="00342823"/>
    <w:rsid w:val="00342BE7"/>
    <w:rsid w:val="00342EF6"/>
    <w:rsid w:val="00345812"/>
    <w:rsid w:val="00347349"/>
    <w:rsid w:val="00347382"/>
    <w:rsid w:val="003479B9"/>
    <w:rsid w:val="00347AF6"/>
    <w:rsid w:val="00347F06"/>
    <w:rsid w:val="00347F94"/>
    <w:rsid w:val="003504E6"/>
    <w:rsid w:val="00350D5E"/>
    <w:rsid w:val="00351712"/>
    <w:rsid w:val="00351934"/>
    <w:rsid w:val="00351F43"/>
    <w:rsid w:val="00352293"/>
    <w:rsid w:val="00352A54"/>
    <w:rsid w:val="0035311A"/>
    <w:rsid w:val="003550E9"/>
    <w:rsid w:val="00357093"/>
    <w:rsid w:val="00357A67"/>
    <w:rsid w:val="00357BA9"/>
    <w:rsid w:val="0036079D"/>
    <w:rsid w:val="0036273E"/>
    <w:rsid w:val="00363DB9"/>
    <w:rsid w:val="00363DE9"/>
    <w:rsid w:val="00363FD9"/>
    <w:rsid w:val="003640D7"/>
    <w:rsid w:val="00364991"/>
    <w:rsid w:val="00364FFA"/>
    <w:rsid w:val="00365551"/>
    <w:rsid w:val="003700D0"/>
    <w:rsid w:val="00372837"/>
    <w:rsid w:val="003735F8"/>
    <w:rsid w:val="00373C20"/>
    <w:rsid w:val="00374FD0"/>
    <w:rsid w:val="0037542E"/>
    <w:rsid w:val="00376025"/>
    <w:rsid w:val="003761E8"/>
    <w:rsid w:val="00376B95"/>
    <w:rsid w:val="00376CAE"/>
    <w:rsid w:val="003770CD"/>
    <w:rsid w:val="003772AC"/>
    <w:rsid w:val="0038078C"/>
    <w:rsid w:val="00380E1B"/>
    <w:rsid w:val="00381C61"/>
    <w:rsid w:val="00381D3A"/>
    <w:rsid w:val="003839DD"/>
    <w:rsid w:val="00383A6A"/>
    <w:rsid w:val="00384521"/>
    <w:rsid w:val="003845FA"/>
    <w:rsid w:val="0038473A"/>
    <w:rsid w:val="00384C55"/>
    <w:rsid w:val="00385E9F"/>
    <w:rsid w:val="00386107"/>
    <w:rsid w:val="00386C31"/>
    <w:rsid w:val="00386D8D"/>
    <w:rsid w:val="0038702E"/>
    <w:rsid w:val="00387189"/>
    <w:rsid w:val="00387652"/>
    <w:rsid w:val="0039044F"/>
    <w:rsid w:val="00390D9A"/>
    <w:rsid w:val="003916E3"/>
    <w:rsid w:val="00391B79"/>
    <w:rsid w:val="00392063"/>
    <w:rsid w:val="00393E5E"/>
    <w:rsid w:val="00395163"/>
    <w:rsid w:val="0039527E"/>
    <w:rsid w:val="00396F27"/>
    <w:rsid w:val="003974B0"/>
    <w:rsid w:val="00397620"/>
    <w:rsid w:val="00397F4E"/>
    <w:rsid w:val="003A00E9"/>
    <w:rsid w:val="003A0387"/>
    <w:rsid w:val="003A06F3"/>
    <w:rsid w:val="003A0BF4"/>
    <w:rsid w:val="003A174E"/>
    <w:rsid w:val="003A1832"/>
    <w:rsid w:val="003A1B44"/>
    <w:rsid w:val="003A491E"/>
    <w:rsid w:val="003A5DB0"/>
    <w:rsid w:val="003A63B5"/>
    <w:rsid w:val="003A678C"/>
    <w:rsid w:val="003A72E2"/>
    <w:rsid w:val="003B0481"/>
    <w:rsid w:val="003B1745"/>
    <w:rsid w:val="003B1C96"/>
    <w:rsid w:val="003B2633"/>
    <w:rsid w:val="003B2FEC"/>
    <w:rsid w:val="003B3068"/>
    <w:rsid w:val="003B3C63"/>
    <w:rsid w:val="003B54F0"/>
    <w:rsid w:val="003B6CBB"/>
    <w:rsid w:val="003B7BC1"/>
    <w:rsid w:val="003C00DA"/>
    <w:rsid w:val="003C0213"/>
    <w:rsid w:val="003C024D"/>
    <w:rsid w:val="003C134B"/>
    <w:rsid w:val="003C1B5E"/>
    <w:rsid w:val="003C1BF9"/>
    <w:rsid w:val="003C25BF"/>
    <w:rsid w:val="003C3642"/>
    <w:rsid w:val="003C4DD3"/>
    <w:rsid w:val="003C5263"/>
    <w:rsid w:val="003C66F0"/>
    <w:rsid w:val="003C6B83"/>
    <w:rsid w:val="003C6C71"/>
    <w:rsid w:val="003C792D"/>
    <w:rsid w:val="003C794C"/>
    <w:rsid w:val="003D1850"/>
    <w:rsid w:val="003D1E24"/>
    <w:rsid w:val="003D221D"/>
    <w:rsid w:val="003D3803"/>
    <w:rsid w:val="003D4C1C"/>
    <w:rsid w:val="003D5A66"/>
    <w:rsid w:val="003D6876"/>
    <w:rsid w:val="003E01C1"/>
    <w:rsid w:val="003E0BE5"/>
    <w:rsid w:val="003E1345"/>
    <w:rsid w:val="003E221B"/>
    <w:rsid w:val="003E24EC"/>
    <w:rsid w:val="003E27AF"/>
    <w:rsid w:val="003E34AD"/>
    <w:rsid w:val="003E34BD"/>
    <w:rsid w:val="003E36D4"/>
    <w:rsid w:val="003E3DEA"/>
    <w:rsid w:val="003E42D0"/>
    <w:rsid w:val="003E58D9"/>
    <w:rsid w:val="003E7811"/>
    <w:rsid w:val="003F0C17"/>
    <w:rsid w:val="003F0DE1"/>
    <w:rsid w:val="003F26C2"/>
    <w:rsid w:val="003F42AB"/>
    <w:rsid w:val="003F5D32"/>
    <w:rsid w:val="003F6191"/>
    <w:rsid w:val="003F68FE"/>
    <w:rsid w:val="003F6FCD"/>
    <w:rsid w:val="003F71A9"/>
    <w:rsid w:val="004000CD"/>
    <w:rsid w:val="0040153F"/>
    <w:rsid w:val="00401C1A"/>
    <w:rsid w:val="00405526"/>
    <w:rsid w:val="00405B1D"/>
    <w:rsid w:val="00405F4F"/>
    <w:rsid w:val="00407259"/>
    <w:rsid w:val="00407335"/>
    <w:rsid w:val="00407EB3"/>
    <w:rsid w:val="00410783"/>
    <w:rsid w:val="0041101D"/>
    <w:rsid w:val="00411178"/>
    <w:rsid w:val="004119D3"/>
    <w:rsid w:val="00411CBA"/>
    <w:rsid w:val="00412C5B"/>
    <w:rsid w:val="00413CFD"/>
    <w:rsid w:val="004144A5"/>
    <w:rsid w:val="004158EE"/>
    <w:rsid w:val="00420095"/>
    <w:rsid w:val="004203F8"/>
    <w:rsid w:val="004207A9"/>
    <w:rsid w:val="00420F06"/>
    <w:rsid w:val="00420F1C"/>
    <w:rsid w:val="0042191C"/>
    <w:rsid w:val="0042378A"/>
    <w:rsid w:val="00423B13"/>
    <w:rsid w:val="00425BDE"/>
    <w:rsid w:val="00426B93"/>
    <w:rsid w:val="004303D9"/>
    <w:rsid w:val="00430632"/>
    <w:rsid w:val="004311E3"/>
    <w:rsid w:val="00431BCC"/>
    <w:rsid w:val="00431E0C"/>
    <w:rsid w:val="0043270E"/>
    <w:rsid w:val="00434306"/>
    <w:rsid w:val="004343E3"/>
    <w:rsid w:val="00436B9E"/>
    <w:rsid w:val="00436CE4"/>
    <w:rsid w:val="004375E5"/>
    <w:rsid w:val="00440EC8"/>
    <w:rsid w:val="00441C3B"/>
    <w:rsid w:val="00441F73"/>
    <w:rsid w:val="004429D5"/>
    <w:rsid w:val="00442F21"/>
    <w:rsid w:val="00444519"/>
    <w:rsid w:val="00444A25"/>
    <w:rsid w:val="0044548B"/>
    <w:rsid w:val="0044566A"/>
    <w:rsid w:val="00445AF6"/>
    <w:rsid w:val="00446123"/>
    <w:rsid w:val="00446A6D"/>
    <w:rsid w:val="00446D2B"/>
    <w:rsid w:val="00450E36"/>
    <w:rsid w:val="004512D2"/>
    <w:rsid w:val="00451974"/>
    <w:rsid w:val="004520BE"/>
    <w:rsid w:val="004525B6"/>
    <w:rsid w:val="00452AEF"/>
    <w:rsid w:val="00453060"/>
    <w:rsid w:val="00453590"/>
    <w:rsid w:val="00454CDF"/>
    <w:rsid w:val="00455979"/>
    <w:rsid w:val="00455BE3"/>
    <w:rsid w:val="00456F84"/>
    <w:rsid w:val="00460133"/>
    <w:rsid w:val="00460F54"/>
    <w:rsid w:val="0046172B"/>
    <w:rsid w:val="00461F7F"/>
    <w:rsid w:val="00462129"/>
    <w:rsid w:val="004622CC"/>
    <w:rsid w:val="004638F7"/>
    <w:rsid w:val="004648B9"/>
    <w:rsid w:val="0046608B"/>
    <w:rsid w:val="004676DB"/>
    <w:rsid w:val="00470AB9"/>
    <w:rsid w:val="00470D96"/>
    <w:rsid w:val="004717C8"/>
    <w:rsid w:val="004719A3"/>
    <w:rsid w:val="004720DC"/>
    <w:rsid w:val="00472916"/>
    <w:rsid w:val="00473311"/>
    <w:rsid w:val="004739E4"/>
    <w:rsid w:val="00475E09"/>
    <w:rsid w:val="00476156"/>
    <w:rsid w:val="00476213"/>
    <w:rsid w:val="004771D0"/>
    <w:rsid w:val="00480BCD"/>
    <w:rsid w:val="004813ED"/>
    <w:rsid w:val="00481A8F"/>
    <w:rsid w:val="00482154"/>
    <w:rsid w:val="00482C02"/>
    <w:rsid w:val="00482DF8"/>
    <w:rsid w:val="00482F4D"/>
    <w:rsid w:val="00483ADA"/>
    <w:rsid w:val="00484CF1"/>
    <w:rsid w:val="004854AC"/>
    <w:rsid w:val="004855BB"/>
    <w:rsid w:val="00485787"/>
    <w:rsid w:val="00485D9F"/>
    <w:rsid w:val="00486DD7"/>
    <w:rsid w:val="004901B1"/>
    <w:rsid w:val="004924B2"/>
    <w:rsid w:val="00492B40"/>
    <w:rsid w:val="00495FDA"/>
    <w:rsid w:val="004965E8"/>
    <w:rsid w:val="00496DA7"/>
    <w:rsid w:val="00497888"/>
    <w:rsid w:val="004A03CF"/>
    <w:rsid w:val="004A0679"/>
    <w:rsid w:val="004A09FB"/>
    <w:rsid w:val="004A1E64"/>
    <w:rsid w:val="004A1FF4"/>
    <w:rsid w:val="004A211C"/>
    <w:rsid w:val="004A3187"/>
    <w:rsid w:val="004A3555"/>
    <w:rsid w:val="004A3573"/>
    <w:rsid w:val="004A3704"/>
    <w:rsid w:val="004A39C2"/>
    <w:rsid w:val="004A3CC9"/>
    <w:rsid w:val="004A48C7"/>
    <w:rsid w:val="004A4BB7"/>
    <w:rsid w:val="004A691D"/>
    <w:rsid w:val="004A70A9"/>
    <w:rsid w:val="004A7413"/>
    <w:rsid w:val="004A763B"/>
    <w:rsid w:val="004A7844"/>
    <w:rsid w:val="004B02B4"/>
    <w:rsid w:val="004B07CC"/>
    <w:rsid w:val="004B08C9"/>
    <w:rsid w:val="004B0A49"/>
    <w:rsid w:val="004B1366"/>
    <w:rsid w:val="004B1902"/>
    <w:rsid w:val="004B1F24"/>
    <w:rsid w:val="004B1FF4"/>
    <w:rsid w:val="004B2E87"/>
    <w:rsid w:val="004B3D23"/>
    <w:rsid w:val="004B4C96"/>
    <w:rsid w:val="004B50B5"/>
    <w:rsid w:val="004B64DC"/>
    <w:rsid w:val="004B7294"/>
    <w:rsid w:val="004B7638"/>
    <w:rsid w:val="004B77F3"/>
    <w:rsid w:val="004C0D61"/>
    <w:rsid w:val="004C2172"/>
    <w:rsid w:val="004C229E"/>
    <w:rsid w:val="004C24BA"/>
    <w:rsid w:val="004C43E8"/>
    <w:rsid w:val="004C4925"/>
    <w:rsid w:val="004C5430"/>
    <w:rsid w:val="004C54AC"/>
    <w:rsid w:val="004C6AF3"/>
    <w:rsid w:val="004C710E"/>
    <w:rsid w:val="004C7D6C"/>
    <w:rsid w:val="004D1702"/>
    <w:rsid w:val="004D5F6F"/>
    <w:rsid w:val="004D64F9"/>
    <w:rsid w:val="004D6BFD"/>
    <w:rsid w:val="004D7E7E"/>
    <w:rsid w:val="004E1639"/>
    <w:rsid w:val="004E1645"/>
    <w:rsid w:val="004E1888"/>
    <w:rsid w:val="004E23F0"/>
    <w:rsid w:val="004E2440"/>
    <w:rsid w:val="004E32B3"/>
    <w:rsid w:val="004E3799"/>
    <w:rsid w:val="004E39CC"/>
    <w:rsid w:val="004E3EDD"/>
    <w:rsid w:val="004E4C22"/>
    <w:rsid w:val="004E4DCC"/>
    <w:rsid w:val="004E577F"/>
    <w:rsid w:val="004E5FB8"/>
    <w:rsid w:val="004E65C6"/>
    <w:rsid w:val="004E65D8"/>
    <w:rsid w:val="004E699C"/>
    <w:rsid w:val="004F2407"/>
    <w:rsid w:val="004F2CAC"/>
    <w:rsid w:val="004F3671"/>
    <w:rsid w:val="004F3C25"/>
    <w:rsid w:val="004F4201"/>
    <w:rsid w:val="004F4F67"/>
    <w:rsid w:val="004F6258"/>
    <w:rsid w:val="004F6F03"/>
    <w:rsid w:val="004F7D72"/>
    <w:rsid w:val="005006A6"/>
    <w:rsid w:val="00501494"/>
    <w:rsid w:val="005022B8"/>
    <w:rsid w:val="00502605"/>
    <w:rsid w:val="00503A98"/>
    <w:rsid w:val="00505C51"/>
    <w:rsid w:val="00507322"/>
    <w:rsid w:val="00510151"/>
    <w:rsid w:val="005107E6"/>
    <w:rsid w:val="005107EC"/>
    <w:rsid w:val="00511125"/>
    <w:rsid w:val="005114B8"/>
    <w:rsid w:val="00512002"/>
    <w:rsid w:val="0051241F"/>
    <w:rsid w:val="00513591"/>
    <w:rsid w:val="00513B3D"/>
    <w:rsid w:val="00513BC6"/>
    <w:rsid w:val="0051454C"/>
    <w:rsid w:val="00514A62"/>
    <w:rsid w:val="00514CF3"/>
    <w:rsid w:val="0051543F"/>
    <w:rsid w:val="00515EFD"/>
    <w:rsid w:val="00516B9E"/>
    <w:rsid w:val="0052071A"/>
    <w:rsid w:val="0052173B"/>
    <w:rsid w:val="00521CF0"/>
    <w:rsid w:val="0052282F"/>
    <w:rsid w:val="005243AF"/>
    <w:rsid w:val="005267F0"/>
    <w:rsid w:val="00526B9C"/>
    <w:rsid w:val="00527406"/>
    <w:rsid w:val="0053173F"/>
    <w:rsid w:val="00531820"/>
    <w:rsid w:val="00532B0F"/>
    <w:rsid w:val="00532BEA"/>
    <w:rsid w:val="00533219"/>
    <w:rsid w:val="00533250"/>
    <w:rsid w:val="00533E03"/>
    <w:rsid w:val="005340F9"/>
    <w:rsid w:val="005344E1"/>
    <w:rsid w:val="005347A6"/>
    <w:rsid w:val="00534DCB"/>
    <w:rsid w:val="005355E8"/>
    <w:rsid w:val="0053561B"/>
    <w:rsid w:val="0053577B"/>
    <w:rsid w:val="005357BD"/>
    <w:rsid w:val="00535961"/>
    <w:rsid w:val="005371CB"/>
    <w:rsid w:val="005374E3"/>
    <w:rsid w:val="00537583"/>
    <w:rsid w:val="0054003C"/>
    <w:rsid w:val="00540305"/>
    <w:rsid w:val="00540808"/>
    <w:rsid w:val="00540974"/>
    <w:rsid w:val="005420BC"/>
    <w:rsid w:val="00542192"/>
    <w:rsid w:val="00542BFB"/>
    <w:rsid w:val="00543630"/>
    <w:rsid w:val="005447FF"/>
    <w:rsid w:val="00547908"/>
    <w:rsid w:val="0055077F"/>
    <w:rsid w:val="0055101D"/>
    <w:rsid w:val="005513D5"/>
    <w:rsid w:val="0055228D"/>
    <w:rsid w:val="00552436"/>
    <w:rsid w:val="005535C2"/>
    <w:rsid w:val="00553940"/>
    <w:rsid w:val="00553970"/>
    <w:rsid w:val="00554E1D"/>
    <w:rsid w:val="005557A7"/>
    <w:rsid w:val="005565D0"/>
    <w:rsid w:val="005566DE"/>
    <w:rsid w:val="00557B83"/>
    <w:rsid w:val="005607AB"/>
    <w:rsid w:val="00560872"/>
    <w:rsid w:val="00561387"/>
    <w:rsid w:val="005616EB"/>
    <w:rsid w:val="00561B14"/>
    <w:rsid w:val="005623FE"/>
    <w:rsid w:val="00562531"/>
    <w:rsid w:val="005639CE"/>
    <w:rsid w:val="005644E9"/>
    <w:rsid w:val="00565703"/>
    <w:rsid w:val="00565DBD"/>
    <w:rsid w:val="00566559"/>
    <w:rsid w:val="00567397"/>
    <w:rsid w:val="00571F4B"/>
    <w:rsid w:val="00573395"/>
    <w:rsid w:val="005737B7"/>
    <w:rsid w:val="0057386B"/>
    <w:rsid w:val="00573888"/>
    <w:rsid w:val="00573EFE"/>
    <w:rsid w:val="005742A3"/>
    <w:rsid w:val="00576308"/>
    <w:rsid w:val="00577BB6"/>
    <w:rsid w:val="00580892"/>
    <w:rsid w:val="00583BCF"/>
    <w:rsid w:val="005840FC"/>
    <w:rsid w:val="00584BC4"/>
    <w:rsid w:val="00587680"/>
    <w:rsid w:val="00587A6C"/>
    <w:rsid w:val="00591650"/>
    <w:rsid w:val="00591715"/>
    <w:rsid w:val="0059235E"/>
    <w:rsid w:val="005926AF"/>
    <w:rsid w:val="005931AB"/>
    <w:rsid w:val="00593CA2"/>
    <w:rsid w:val="005976C3"/>
    <w:rsid w:val="005A0236"/>
    <w:rsid w:val="005A042B"/>
    <w:rsid w:val="005A1B6D"/>
    <w:rsid w:val="005A1D8D"/>
    <w:rsid w:val="005A290F"/>
    <w:rsid w:val="005A2CDF"/>
    <w:rsid w:val="005A300B"/>
    <w:rsid w:val="005A36F8"/>
    <w:rsid w:val="005A3B1D"/>
    <w:rsid w:val="005A3B62"/>
    <w:rsid w:val="005A4A6A"/>
    <w:rsid w:val="005A4C31"/>
    <w:rsid w:val="005A4CD3"/>
    <w:rsid w:val="005A4EDC"/>
    <w:rsid w:val="005A5D71"/>
    <w:rsid w:val="005A6553"/>
    <w:rsid w:val="005A70FF"/>
    <w:rsid w:val="005B01C8"/>
    <w:rsid w:val="005B03D9"/>
    <w:rsid w:val="005B0464"/>
    <w:rsid w:val="005B0477"/>
    <w:rsid w:val="005B05D7"/>
    <w:rsid w:val="005B0664"/>
    <w:rsid w:val="005B0E1D"/>
    <w:rsid w:val="005B2899"/>
    <w:rsid w:val="005B2996"/>
    <w:rsid w:val="005B45E4"/>
    <w:rsid w:val="005B5130"/>
    <w:rsid w:val="005B5912"/>
    <w:rsid w:val="005B5D07"/>
    <w:rsid w:val="005B7509"/>
    <w:rsid w:val="005B7B0D"/>
    <w:rsid w:val="005C03A2"/>
    <w:rsid w:val="005C103D"/>
    <w:rsid w:val="005C1DF0"/>
    <w:rsid w:val="005C1EA3"/>
    <w:rsid w:val="005C3038"/>
    <w:rsid w:val="005C34A9"/>
    <w:rsid w:val="005C353F"/>
    <w:rsid w:val="005C3A7E"/>
    <w:rsid w:val="005C43B5"/>
    <w:rsid w:val="005C48FB"/>
    <w:rsid w:val="005C4DE7"/>
    <w:rsid w:val="005C4FD2"/>
    <w:rsid w:val="005C517D"/>
    <w:rsid w:val="005C58EC"/>
    <w:rsid w:val="005C59BE"/>
    <w:rsid w:val="005C5D46"/>
    <w:rsid w:val="005C6502"/>
    <w:rsid w:val="005C687C"/>
    <w:rsid w:val="005D19C3"/>
    <w:rsid w:val="005D2629"/>
    <w:rsid w:val="005D35FA"/>
    <w:rsid w:val="005D42E4"/>
    <w:rsid w:val="005D4B30"/>
    <w:rsid w:val="005D5624"/>
    <w:rsid w:val="005D59B9"/>
    <w:rsid w:val="005D5B2B"/>
    <w:rsid w:val="005D6A87"/>
    <w:rsid w:val="005D7048"/>
    <w:rsid w:val="005D7675"/>
    <w:rsid w:val="005D7763"/>
    <w:rsid w:val="005D7E5A"/>
    <w:rsid w:val="005E063D"/>
    <w:rsid w:val="005E0EA1"/>
    <w:rsid w:val="005E18BE"/>
    <w:rsid w:val="005E21BD"/>
    <w:rsid w:val="005E3401"/>
    <w:rsid w:val="005E3FAB"/>
    <w:rsid w:val="005E4CDA"/>
    <w:rsid w:val="005E4F41"/>
    <w:rsid w:val="005E7AB0"/>
    <w:rsid w:val="005F087E"/>
    <w:rsid w:val="005F0D7A"/>
    <w:rsid w:val="005F11CC"/>
    <w:rsid w:val="005F2487"/>
    <w:rsid w:val="005F31D5"/>
    <w:rsid w:val="005F49BA"/>
    <w:rsid w:val="005F5C86"/>
    <w:rsid w:val="005F5F5E"/>
    <w:rsid w:val="005F705C"/>
    <w:rsid w:val="005F7A18"/>
    <w:rsid w:val="005F7E6D"/>
    <w:rsid w:val="00600649"/>
    <w:rsid w:val="00601161"/>
    <w:rsid w:val="0060192A"/>
    <w:rsid w:val="00601BD3"/>
    <w:rsid w:val="00601E50"/>
    <w:rsid w:val="00602B7B"/>
    <w:rsid w:val="00604FB4"/>
    <w:rsid w:val="00606430"/>
    <w:rsid w:val="00606C59"/>
    <w:rsid w:val="00607D6E"/>
    <w:rsid w:val="00607E24"/>
    <w:rsid w:val="00610DF7"/>
    <w:rsid w:val="0061129B"/>
    <w:rsid w:val="00611D04"/>
    <w:rsid w:val="006148A8"/>
    <w:rsid w:val="0061525A"/>
    <w:rsid w:val="006153D5"/>
    <w:rsid w:val="00615886"/>
    <w:rsid w:val="00615995"/>
    <w:rsid w:val="00616353"/>
    <w:rsid w:val="00617443"/>
    <w:rsid w:val="00617FB5"/>
    <w:rsid w:val="00620BB3"/>
    <w:rsid w:val="00620E80"/>
    <w:rsid w:val="00620E88"/>
    <w:rsid w:val="0062163E"/>
    <w:rsid w:val="0062195B"/>
    <w:rsid w:val="00621C12"/>
    <w:rsid w:val="00623D37"/>
    <w:rsid w:val="006249D4"/>
    <w:rsid w:val="0062509F"/>
    <w:rsid w:val="0062653F"/>
    <w:rsid w:val="00627AE4"/>
    <w:rsid w:val="00627BCA"/>
    <w:rsid w:val="006306AC"/>
    <w:rsid w:val="0063086F"/>
    <w:rsid w:val="006310D8"/>
    <w:rsid w:val="006317D5"/>
    <w:rsid w:val="00631A80"/>
    <w:rsid w:val="0063245B"/>
    <w:rsid w:val="00632B7C"/>
    <w:rsid w:val="00632C4F"/>
    <w:rsid w:val="00634631"/>
    <w:rsid w:val="00634726"/>
    <w:rsid w:val="00640FAF"/>
    <w:rsid w:val="006416F9"/>
    <w:rsid w:val="00641D49"/>
    <w:rsid w:val="00642C40"/>
    <w:rsid w:val="00643662"/>
    <w:rsid w:val="00644D1B"/>
    <w:rsid w:val="00645A35"/>
    <w:rsid w:val="00646425"/>
    <w:rsid w:val="006466A3"/>
    <w:rsid w:val="00647B3F"/>
    <w:rsid w:val="00650279"/>
    <w:rsid w:val="00650EEC"/>
    <w:rsid w:val="006511A0"/>
    <w:rsid w:val="0065214F"/>
    <w:rsid w:val="006521BC"/>
    <w:rsid w:val="006527E7"/>
    <w:rsid w:val="00652D77"/>
    <w:rsid w:val="00652E5C"/>
    <w:rsid w:val="00653086"/>
    <w:rsid w:val="006530DF"/>
    <w:rsid w:val="00653A35"/>
    <w:rsid w:val="00654542"/>
    <w:rsid w:val="00654E13"/>
    <w:rsid w:val="00657816"/>
    <w:rsid w:val="006602C6"/>
    <w:rsid w:val="006606EF"/>
    <w:rsid w:val="006606F0"/>
    <w:rsid w:val="006609A5"/>
    <w:rsid w:val="00660C0D"/>
    <w:rsid w:val="00661405"/>
    <w:rsid w:val="00662124"/>
    <w:rsid w:val="0066258B"/>
    <w:rsid w:val="006625C3"/>
    <w:rsid w:val="00664962"/>
    <w:rsid w:val="00664997"/>
    <w:rsid w:val="00664AFE"/>
    <w:rsid w:val="0066500C"/>
    <w:rsid w:val="00665432"/>
    <w:rsid w:val="0066546F"/>
    <w:rsid w:val="006655F6"/>
    <w:rsid w:val="006663AF"/>
    <w:rsid w:val="006669C4"/>
    <w:rsid w:val="00666A7D"/>
    <w:rsid w:val="00667753"/>
    <w:rsid w:val="006678E1"/>
    <w:rsid w:val="00667AF2"/>
    <w:rsid w:val="00670316"/>
    <w:rsid w:val="00670D70"/>
    <w:rsid w:val="006717C6"/>
    <w:rsid w:val="00672334"/>
    <w:rsid w:val="00672479"/>
    <w:rsid w:val="00673136"/>
    <w:rsid w:val="00673806"/>
    <w:rsid w:val="00674D2B"/>
    <w:rsid w:val="0067580A"/>
    <w:rsid w:val="00675AFF"/>
    <w:rsid w:val="00675BBA"/>
    <w:rsid w:val="00676178"/>
    <w:rsid w:val="006807C2"/>
    <w:rsid w:val="00680B2E"/>
    <w:rsid w:val="00680B87"/>
    <w:rsid w:val="00680D3C"/>
    <w:rsid w:val="0068185A"/>
    <w:rsid w:val="00682258"/>
    <w:rsid w:val="00682B3D"/>
    <w:rsid w:val="00684110"/>
    <w:rsid w:val="00684514"/>
    <w:rsid w:val="00684D0C"/>
    <w:rsid w:val="00684F24"/>
    <w:rsid w:val="00685E27"/>
    <w:rsid w:val="0068732F"/>
    <w:rsid w:val="006920ED"/>
    <w:rsid w:val="00694C57"/>
    <w:rsid w:val="0069572B"/>
    <w:rsid w:val="006963C5"/>
    <w:rsid w:val="00696CF0"/>
    <w:rsid w:val="00697C25"/>
    <w:rsid w:val="006A0D86"/>
    <w:rsid w:val="006A0F70"/>
    <w:rsid w:val="006A1A1C"/>
    <w:rsid w:val="006A221C"/>
    <w:rsid w:val="006A27EA"/>
    <w:rsid w:val="006A3213"/>
    <w:rsid w:val="006A3D44"/>
    <w:rsid w:val="006A3EB5"/>
    <w:rsid w:val="006A3F59"/>
    <w:rsid w:val="006A3F91"/>
    <w:rsid w:val="006A4AF9"/>
    <w:rsid w:val="006A4C58"/>
    <w:rsid w:val="006A51A4"/>
    <w:rsid w:val="006A66A5"/>
    <w:rsid w:val="006A6ADA"/>
    <w:rsid w:val="006A6E3B"/>
    <w:rsid w:val="006A70A2"/>
    <w:rsid w:val="006B0260"/>
    <w:rsid w:val="006B05BD"/>
    <w:rsid w:val="006B1196"/>
    <w:rsid w:val="006B143A"/>
    <w:rsid w:val="006B1612"/>
    <w:rsid w:val="006B16E3"/>
    <w:rsid w:val="006B5117"/>
    <w:rsid w:val="006B5206"/>
    <w:rsid w:val="006B5EC4"/>
    <w:rsid w:val="006B5F3C"/>
    <w:rsid w:val="006B6355"/>
    <w:rsid w:val="006B785B"/>
    <w:rsid w:val="006C06CD"/>
    <w:rsid w:val="006C0B4A"/>
    <w:rsid w:val="006C20A8"/>
    <w:rsid w:val="006C26F0"/>
    <w:rsid w:val="006C377D"/>
    <w:rsid w:val="006C42C7"/>
    <w:rsid w:val="006C63B7"/>
    <w:rsid w:val="006C653F"/>
    <w:rsid w:val="006C6BEB"/>
    <w:rsid w:val="006C76DD"/>
    <w:rsid w:val="006C7BAB"/>
    <w:rsid w:val="006D05B3"/>
    <w:rsid w:val="006D0CAF"/>
    <w:rsid w:val="006D1ECA"/>
    <w:rsid w:val="006D2D1E"/>
    <w:rsid w:val="006D2DB4"/>
    <w:rsid w:val="006D44CE"/>
    <w:rsid w:val="006D4511"/>
    <w:rsid w:val="006D602A"/>
    <w:rsid w:val="006E24CD"/>
    <w:rsid w:val="006E28CE"/>
    <w:rsid w:val="006E2BD4"/>
    <w:rsid w:val="006E40A2"/>
    <w:rsid w:val="006E4C55"/>
    <w:rsid w:val="006E5113"/>
    <w:rsid w:val="006E5ACC"/>
    <w:rsid w:val="006E5C4C"/>
    <w:rsid w:val="006E5FE2"/>
    <w:rsid w:val="006E61DB"/>
    <w:rsid w:val="006E6CCE"/>
    <w:rsid w:val="006E7355"/>
    <w:rsid w:val="006E765B"/>
    <w:rsid w:val="006E7C7E"/>
    <w:rsid w:val="006F11B8"/>
    <w:rsid w:val="006F15CD"/>
    <w:rsid w:val="006F1A72"/>
    <w:rsid w:val="006F1B3F"/>
    <w:rsid w:val="006F29F3"/>
    <w:rsid w:val="006F4CAB"/>
    <w:rsid w:val="006F4F12"/>
    <w:rsid w:val="006F5B96"/>
    <w:rsid w:val="006F6FA2"/>
    <w:rsid w:val="006F75FD"/>
    <w:rsid w:val="007002DD"/>
    <w:rsid w:val="00700A7F"/>
    <w:rsid w:val="00700A9A"/>
    <w:rsid w:val="007010A7"/>
    <w:rsid w:val="00701589"/>
    <w:rsid w:val="007019F5"/>
    <w:rsid w:val="00701A62"/>
    <w:rsid w:val="00701DB9"/>
    <w:rsid w:val="007032EC"/>
    <w:rsid w:val="0070353B"/>
    <w:rsid w:val="00703C12"/>
    <w:rsid w:val="00705E69"/>
    <w:rsid w:val="0070603A"/>
    <w:rsid w:val="00706950"/>
    <w:rsid w:val="00707BC7"/>
    <w:rsid w:val="00707E15"/>
    <w:rsid w:val="00707EB6"/>
    <w:rsid w:val="007116C3"/>
    <w:rsid w:val="00711CB1"/>
    <w:rsid w:val="0071225E"/>
    <w:rsid w:val="007126F5"/>
    <w:rsid w:val="00713C8C"/>
    <w:rsid w:val="007172B9"/>
    <w:rsid w:val="00720BF7"/>
    <w:rsid w:val="007212B4"/>
    <w:rsid w:val="0072297B"/>
    <w:rsid w:val="00722C6B"/>
    <w:rsid w:val="00725B37"/>
    <w:rsid w:val="00725BCC"/>
    <w:rsid w:val="007261DE"/>
    <w:rsid w:val="00726311"/>
    <w:rsid w:val="00726D91"/>
    <w:rsid w:val="00727890"/>
    <w:rsid w:val="00732506"/>
    <w:rsid w:val="00734922"/>
    <w:rsid w:val="00734D42"/>
    <w:rsid w:val="007355AA"/>
    <w:rsid w:val="00736F21"/>
    <w:rsid w:val="00737064"/>
    <w:rsid w:val="00740C1B"/>
    <w:rsid w:val="0074133A"/>
    <w:rsid w:val="0074145D"/>
    <w:rsid w:val="007417D9"/>
    <w:rsid w:val="00743F03"/>
    <w:rsid w:val="007441D0"/>
    <w:rsid w:val="007445BD"/>
    <w:rsid w:val="0074539C"/>
    <w:rsid w:val="00746DD8"/>
    <w:rsid w:val="007471D1"/>
    <w:rsid w:val="00747526"/>
    <w:rsid w:val="00750280"/>
    <w:rsid w:val="00751128"/>
    <w:rsid w:val="007521FC"/>
    <w:rsid w:val="00752A8F"/>
    <w:rsid w:val="00753376"/>
    <w:rsid w:val="00754A50"/>
    <w:rsid w:val="00754F21"/>
    <w:rsid w:val="00754F41"/>
    <w:rsid w:val="00754F62"/>
    <w:rsid w:val="00755265"/>
    <w:rsid w:val="00756792"/>
    <w:rsid w:val="007579CC"/>
    <w:rsid w:val="00760142"/>
    <w:rsid w:val="00760534"/>
    <w:rsid w:val="0076167F"/>
    <w:rsid w:val="00764406"/>
    <w:rsid w:val="007651B1"/>
    <w:rsid w:val="00766AD5"/>
    <w:rsid w:val="00767477"/>
    <w:rsid w:val="007675BF"/>
    <w:rsid w:val="0076777A"/>
    <w:rsid w:val="00767A98"/>
    <w:rsid w:val="007718A2"/>
    <w:rsid w:val="00771E2B"/>
    <w:rsid w:val="00772D15"/>
    <w:rsid w:val="007740AC"/>
    <w:rsid w:val="007741F0"/>
    <w:rsid w:val="0077490F"/>
    <w:rsid w:val="00777358"/>
    <w:rsid w:val="007803A9"/>
    <w:rsid w:val="00782AB5"/>
    <w:rsid w:val="00783BB5"/>
    <w:rsid w:val="00784040"/>
    <w:rsid w:val="00784406"/>
    <w:rsid w:val="007865B2"/>
    <w:rsid w:val="00786DF2"/>
    <w:rsid w:val="0078719B"/>
    <w:rsid w:val="00787713"/>
    <w:rsid w:val="00790F7C"/>
    <w:rsid w:val="007912DF"/>
    <w:rsid w:val="00792C29"/>
    <w:rsid w:val="00792D27"/>
    <w:rsid w:val="00793A73"/>
    <w:rsid w:val="00794F59"/>
    <w:rsid w:val="007950A0"/>
    <w:rsid w:val="007950F3"/>
    <w:rsid w:val="00795343"/>
    <w:rsid w:val="007958E3"/>
    <w:rsid w:val="00795BF4"/>
    <w:rsid w:val="007966BB"/>
    <w:rsid w:val="007A04A4"/>
    <w:rsid w:val="007A1748"/>
    <w:rsid w:val="007A185C"/>
    <w:rsid w:val="007A1B63"/>
    <w:rsid w:val="007A21F1"/>
    <w:rsid w:val="007A2C57"/>
    <w:rsid w:val="007A2EAA"/>
    <w:rsid w:val="007A31B0"/>
    <w:rsid w:val="007A3727"/>
    <w:rsid w:val="007A42FD"/>
    <w:rsid w:val="007A43DA"/>
    <w:rsid w:val="007A4848"/>
    <w:rsid w:val="007A499B"/>
    <w:rsid w:val="007A690B"/>
    <w:rsid w:val="007A73F2"/>
    <w:rsid w:val="007A7665"/>
    <w:rsid w:val="007A7A92"/>
    <w:rsid w:val="007A7FAD"/>
    <w:rsid w:val="007B1078"/>
    <w:rsid w:val="007B1DA9"/>
    <w:rsid w:val="007B2A42"/>
    <w:rsid w:val="007B37CC"/>
    <w:rsid w:val="007B4BBD"/>
    <w:rsid w:val="007B5F63"/>
    <w:rsid w:val="007B6A25"/>
    <w:rsid w:val="007B7195"/>
    <w:rsid w:val="007B757A"/>
    <w:rsid w:val="007B781B"/>
    <w:rsid w:val="007C10B9"/>
    <w:rsid w:val="007C15F1"/>
    <w:rsid w:val="007C1EA7"/>
    <w:rsid w:val="007C2DC2"/>
    <w:rsid w:val="007C2F7B"/>
    <w:rsid w:val="007C35D6"/>
    <w:rsid w:val="007C5224"/>
    <w:rsid w:val="007C54F4"/>
    <w:rsid w:val="007C5960"/>
    <w:rsid w:val="007C5EBF"/>
    <w:rsid w:val="007C61E1"/>
    <w:rsid w:val="007C6AB7"/>
    <w:rsid w:val="007C7AB5"/>
    <w:rsid w:val="007D1496"/>
    <w:rsid w:val="007D211E"/>
    <w:rsid w:val="007D3127"/>
    <w:rsid w:val="007D35C7"/>
    <w:rsid w:val="007D44C4"/>
    <w:rsid w:val="007D4540"/>
    <w:rsid w:val="007D4C7A"/>
    <w:rsid w:val="007D4DA2"/>
    <w:rsid w:val="007D5F48"/>
    <w:rsid w:val="007D689B"/>
    <w:rsid w:val="007D706E"/>
    <w:rsid w:val="007D7CF3"/>
    <w:rsid w:val="007E016D"/>
    <w:rsid w:val="007E0329"/>
    <w:rsid w:val="007E1107"/>
    <w:rsid w:val="007E1F44"/>
    <w:rsid w:val="007E240B"/>
    <w:rsid w:val="007E251D"/>
    <w:rsid w:val="007E2660"/>
    <w:rsid w:val="007E28A1"/>
    <w:rsid w:val="007E3A7B"/>
    <w:rsid w:val="007E5951"/>
    <w:rsid w:val="007E64FF"/>
    <w:rsid w:val="007F0132"/>
    <w:rsid w:val="007F04DE"/>
    <w:rsid w:val="007F0942"/>
    <w:rsid w:val="007F1962"/>
    <w:rsid w:val="007F1986"/>
    <w:rsid w:val="007F1DC2"/>
    <w:rsid w:val="007F320C"/>
    <w:rsid w:val="007F33D0"/>
    <w:rsid w:val="007F4132"/>
    <w:rsid w:val="007F4999"/>
    <w:rsid w:val="007F4A14"/>
    <w:rsid w:val="007F633B"/>
    <w:rsid w:val="007F63D8"/>
    <w:rsid w:val="007F6A59"/>
    <w:rsid w:val="007F6C35"/>
    <w:rsid w:val="007F6D0C"/>
    <w:rsid w:val="007F7C39"/>
    <w:rsid w:val="0080117B"/>
    <w:rsid w:val="008013AC"/>
    <w:rsid w:val="00801A31"/>
    <w:rsid w:val="00801C71"/>
    <w:rsid w:val="008020BE"/>
    <w:rsid w:val="008022F1"/>
    <w:rsid w:val="00802D34"/>
    <w:rsid w:val="008030C1"/>
    <w:rsid w:val="0080316B"/>
    <w:rsid w:val="00803620"/>
    <w:rsid w:val="008036EF"/>
    <w:rsid w:val="00804143"/>
    <w:rsid w:val="00804718"/>
    <w:rsid w:val="008051A6"/>
    <w:rsid w:val="0080553F"/>
    <w:rsid w:val="008066B3"/>
    <w:rsid w:val="00807146"/>
    <w:rsid w:val="0081055A"/>
    <w:rsid w:val="00810D7C"/>
    <w:rsid w:val="008112D2"/>
    <w:rsid w:val="0081166C"/>
    <w:rsid w:val="00812002"/>
    <w:rsid w:val="008125EF"/>
    <w:rsid w:val="008126D1"/>
    <w:rsid w:val="00813AE9"/>
    <w:rsid w:val="00814134"/>
    <w:rsid w:val="00814422"/>
    <w:rsid w:val="008151A4"/>
    <w:rsid w:val="00815A52"/>
    <w:rsid w:val="00817BF1"/>
    <w:rsid w:val="00820E44"/>
    <w:rsid w:val="00821972"/>
    <w:rsid w:val="00822C58"/>
    <w:rsid w:val="00823626"/>
    <w:rsid w:val="008239B3"/>
    <w:rsid w:val="00825097"/>
    <w:rsid w:val="00825DA2"/>
    <w:rsid w:val="0082642E"/>
    <w:rsid w:val="00827543"/>
    <w:rsid w:val="00827A22"/>
    <w:rsid w:val="00827A61"/>
    <w:rsid w:val="008304A8"/>
    <w:rsid w:val="00830D14"/>
    <w:rsid w:val="008310B1"/>
    <w:rsid w:val="008318F3"/>
    <w:rsid w:val="00832E93"/>
    <w:rsid w:val="0083330E"/>
    <w:rsid w:val="00833F44"/>
    <w:rsid w:val="00833F80"/>
    <w:rsid w:val="00834065"/>
    <w:rsid w:val="00836604"/>
    <w:rsid w:val="00836E82"/>
    <w:rsid w:val="00840783"/>
    <w:rsid w:val="00840855"/>
    <w:rsid w:val="00840F4B"/>
    <w:rsid w:val="0084205B"/>
    <w:rsid w:val="00843FD3"/>
    <w:rsid w:val="00846C99"/>
    <w:rsid w:val="00846CD4"/>
    <w:rsid w:val="00847206"/>
    <w:rsid w:val="008474EB"/>
    <w:rsid w:val="008502CF"/>
    <w:rsid w:val="00852E36"/>
    <w:rsid w:val="00853732"/>
    <w:rsid w:val="00853AE9"/>
    <w:rsid w:val="008543CD"/>
    <w:rsid w:val="00854DEC"/>
    <w:rsid w:val="00855ED9"/>
    <w:rsid w:val="008561D3"/>
    <w:rsid w:val="00856220"/>
    <w:rsid w:val="00857416"/>
    <w:rsid w:val="00857529"/>
    <w:rsid w:val="0085753D"/>
    <w:rsid w:val="00860787"/>
    <w:rsid w:val="008615ED"/>
    <w:rsid w:val="00861678"/>
    <w:rsid w:val="00862804"/>
    <w:rsid w:val="00862BCD"/>
    <w:rsid w:val="00863029"/>
    <w:rsid w:val="0086332A"/>
    <w:rsid w:val="00865087"/>
    <w:rsid w:val="008652AC"/>
    <w:rsid w:val="00865DD1"/>
    <w:rsid w:val="00865F42"/>
    <w:rsid w:val="00866682"/>
    <w:rsid w:val="0086696D"/>
    <w:rsid w:val="00866C32"/>
    <w:rsid w:val="00867F44"/>
    <w:rsid w:val="00870694"/>
    <w:rsid w:val="00872005"/>
    <w:rsid w:val="00873FD9"/>
    <w:rsid w:val="00875480"/>
    <w:rsid w:val="00876742"/>
    <w:rsid w:val="0087679D"/>
    <w:rsid w:val="00877046"/>
    <w:rsid w:val="0087766A"/>
    <w:rsid w:val="00877F4D"/>
    <w:rsid w:val="00880100"/>
    <w:rsid w:val="00880C3A"/>
    <w:rsid w:val="00881FAD"/>
    <w:rsid w:val="00882462"/>
    <w:rsid w:val="008831C1"/>
    <w:rsid w:val="008849CF"/>
    <w:rsid w:val="00885371"/>
    <w:rsid w:val="0088545B"/>
    <w:rsid w:val="00886005"/>
    <w:rsid w:val="008866BE"/>
    <w:rsid w:val="00886B46"/>
    <w:rsid w:val="00887081"/>
    <w:rsid w:val="00887477"/>
    <w:rsid w:val="008877DB"/>
    <w:rsid w:val="00887FA6"/>
    <w:rsid w:val="008903BC"/>
    <w:rsid w:val="00891CC5"/>
    <w:rsid w:val="008926EE"/>
    <w:rsid w:val="00892B94"/>
    <w:rsid w:val="00892FC3"/>
    <w:rsid w:val="00893246"/>
    <w:rsid w:val="00893A42"/>
    <w:rsid w:val="00895256"/>
    <w:rsid w:val="008954D3"/>
    <w:rsid w:val="00896B22"/>
    <w:rsid w:val="00897780"/>
    <w:rsid w:val="00897F76"/>
    <w:rsid w:val="008A0F87"/>
    <w:rsid w:val="008A109C"/>
    <w:rsid w:val="008A260F"/>
    <w:rsid w:val="008A28C1"/>
    <w:rsid w:val="008A39EE"/>
    <w:rsid w:val="008A40A2"/>
    <w:rsid w:val="008A4512"/>
    <w:rsid w:val="008A52F7"/>
    <w:rsid w:val="008A5E0A"/>
    <w:rsid w:val="008A669D"/>
    <w:rsid w:val="008A750D"/>
    <w:rsid w:val="008B03D5"/>
    <w:rsid w:val="008B06B8"/>
    <w:rsid w:val="008B0939"/>
    <w:rsid w:val="008B100C"/>
    <w:rsid w:val="008B145A"/>
    <w:rsid w:val="008B2171"/>
    <w:rsid w:val="008B3115"/>
    <w:rsid w:val="008B5BB4"/>
    <w:rsid w:val="008B66E4"/>
    <w:rsid w:val="008B69B4"/>
    <w:rsid w:val="008B6CFB"/>
    <w:rsid w:val="008B7DD5"/>
    <w:rsid w:val="008C090A"/>
    <w:rsid w:val="008C1201"/>
    <w:rsid w:val="008C13D5"/>
    <w:rsid w:val="008C1964"/>
    <w:rsid w:val="008C252F"/>
    <w:rsid w:val="008C2534"/>
    <w:rsid w:val="008C29F8"/>
    <w:rsid w:val="008C30EE"/>
    <w:rsid w:val="008C37CC"/>
    <w:rsid w:val="008C61AE"/>
    <w:rsid w:val="008C7765"/>
    <w:rsid w:val="008D009F"/>
    <w:rsid w:val="008D031B"/>
    <w:rsid w:val="008D1277"/>
    <w:rsid w:val="008D31C4"/>
    <w:rsid w:val="008D3449"/>
    <w:rsid w:val="008D3AB2"/>
    <w:rsid w:val="008D3D3B"/>
    <w:rsid w:val="008D41CE"/>
    <w:rsid w:val="008D5942"/>
    <w:rsid w:val="008D7098"/>
    <w:rsid w:val="008E0613"/>
    <w:rsid w:val="008E0E31"/>
    <w:rsid w:val="008E29A7"/>
    <w:rsid w:val="008E3F35"/>
    <w:rsid w:val="008E3F4F"/>
    <w:rsid w:val="008E43EA"/>
    <w:rsid w:val="008E442F"/>
    <w:rsid w:val="008E57FC"/>
    <w:rsid w:val="008E6055"/>
    <w:rsid w:val="008E670B"/>
    <w:rsid w:val="008E73F0"/>
    <w:rsid w:val="008E7674"/>
    <w:rsid w:val="008E76EA"/>
    <w:rsid w:val="008E78EC"/>
    <w:rsid w:val="008E7C51"/>
    <w:rsid w:val="008F1347"/>
    <w:rsid w:val="008F144A"/>
    <w:rsid w:val="008F16AA"/>
    <w:rsid w:val="008F28A8"/>
    <w:rsid w:val="008F28CC"/>
    <w:rsid w:val="008F450F"/>
    <w:rsid w:val="008F5E26"/>
    <w:rsid w:val="008F5E34"/>
    <w:rsid w:val="008F6B55"/>
    <w:rsid w:val="008F79BF"/>
    <w:rsid w:val="008F7F2A"/>
    <w:rsid w:val="00900419"/>
    <w:rsid w:val="0090043F"/>
    <w:rsid w:val="00900A72"/>
    <w:rsid w:val="009022B5"/>
    <w:rsid w:val="009025A4"/>
    <w:rsid w:val="00902D88"/>
    <w:rsid w:val="009032D5"/>
    <w:rsid w:val="00903916"/>
    <w:rsid w:val="00903D0E"/>
    <w:rsid w:val="00904688"/>
    <w:rsid w:val="00905D97"/>
    <w:rsid w:val="00906826"/>
    <w:rsid w:val="00906BC7"/>
    <w:rsid w:val="009070B1"/>
    <w:rsid w:val="00910A76"/>
    <w:rsid w:val="0091144A"/>
    <w:rsid w:val="0091210E"/>
    <w:rsid w:val="00912B31"/>
    <w:rsid w:val="00915FC1"/>
    <w:rsid w:val="009167D0"/>
    <w:rsid w:val="009174C7"/>
    <w:rsid w:val="009217DC"/>
    <w:rsid w:val="009220FB"/>
    <w:rsid w:val="00922926"/>
    <w:rsid w:val="00923495"/>
    <w:rsid w:val="009235D3"/>
    <w:rsid w:val="0092399C"/>
    <w:rsid w:val="00924347"/>
    <w:rsid w:val="00924358"/>
    <w:rsid w:val="00924B68"/>
    <w:rsid w:val="00924F86"/>
    <w:rsid w:val="00925093"/>
    <w:rsid w:val="0092522B"/>
    <w:rsid w:val="00925E2F"/>
    <w:rsid w:val="00926C68"/>
    <w:rsid w:val="00927373"/>
    <w:rsid w:val="00927CC9"/>
    <w:rsid w:val="00927F1D"/>
    <w:rsid w:val="0093075A"/>
    <w:rsid w:val="00930781"/>
    <w:rsid w:val="00930F57"/>
    <w:rsid w:val="00931766"/>
    <w:rsid w:val="00931CB0"/>
    <w:rsid w:val="00932A09"/>
    <w:rsid w:val="0093334C"/>
    <w:rsid w:val="009339E3"/>
    <w:rsid w:val="00934256"/>
    <w:rsid w:val="00934BB2"/>
    <w:rsid w:val="00934FD3"/>
    <w:rsid w:val="00936F40"/>
    <w:rsid w:val="00940042"/>
    <w:rsid w:val="0094071C"/>
    <w:rsid w:val="00940EBD"/>
    <w:rsid w:val="00941AB8"/>
    <w:rsid w:val="00941F80"/>
    <w:rsid w:val="00942AB5"/>
    <w:rsid w:val="00945762"/>
    <w:rsid w:val="0094669F"/>
    <w:rsid w:val="00946AC7"/>
    <w:rsid w:val="009477F7"/>
    <w:rsid w:val="009503E9"/>
    <w:rsid w:val="0095062E"/>
    <w:rsid w:val="00950BBF"/>
    <w:rsid w:val="00951451"/>
    <w:rsid w:val="00951B39"/>
    <w:rsid w:val="009539EC"/>
    <w:rsid w:val="00953B6D"/>
    <w:rsid w:val="00954464"/>
    <w:rsid w:val="00954987"/>
    <w:rsid w:val="00954AF0"/>
    <w:rsid w:val="00955443"/>
    <w:rsid w:val="00956203"/>
    <w:rsid w:val="009600E0"/>
    <w:rsid w:val="009617C0"/>
    <w:rsid w:val="009639ED"/>
    <w:rsid w:val="009651DA"/>
    <w:rsid w:val="00966607"/>
    <w:rsid w:val="00966D63"/>
    <w:rsid w:val="00966DF5"/>
    <w:rsid w:val="00970A60"/>
    <w:rsid w:val="00970D3D"/>
    <w:rsid w:val="00971B44"/>
    <w:rsid w:val="00972B35"/>
    <w:rsid w:val="00972FCC"/>
    <w:rsid w:val="00974211"/>
    <w:rsid w:val="00975909"/>
    <w:rsid w:val="00976875"/>
    <w:rsid w:val="00982ADE"/>
    <w:rsid w:val="0098447B"/>
    <w:rsid w:val="00984577"/>
    <w:rsid w:val="009853DF"/>
    <w:rsid w:val="0098551B"/>
    <w:rsid w:val="009858F7"/>
    <w:rsid w:val="00986AA8"/>
    <w:rsid w:val="00990692"/>
    <w:rsid w:val="00991186"/>
    <w:rsid w:val="00992471"/>
    <w:rsid w:val="0099481F"/>
    <w:rsid w:val="00994AAC"/>
    <w:rsid w:val="00994F68"/>
    <w:rsid w:val="00995836"/>
    <w:rsid w:val="0099656F"/>
    <w:rsid w:val="009973CD"/>
    <w:rsid w:val="00997E08"/>
    <w:rsid w:val="009A006D"/>
    <w:rsid w:val="009A0DEE"/>
    <w:rsid w:val="009A251C"/>
    <w:rsid w:val="009A3992"/>
    <w:rsid w:val="009A453D"/>
    <w:rsid w:val="009A4947"/>
    <w:rsid w:val="009A67C2"/>
    <w:rsid w:val="009A6E44"/>
    <w:rsid w:val="009A7735"/>
    <w:rsid w:val="009A7A1B"/>
    <w:rsid w:val="009B0409"/>
    <w:rsid w:val="009B0BC1"/>
    <w:rsid w:val="009B0CB5"/>
    <w:rsid w:val="009B1DCB"/>
    <w:rsid w:val="009B1E9D"/>
    <w:rsid w:val="009B3089"/>
    <w:rsid w:val="009B31E5"/>
    <w:rsid w:val="009B326E"/>
    <w:rsid w:val="009B3C2A"/>
    <w:rsid w:val="009B3D34"/>
    <w:rsid w:val="009B40E5"/>
    <w:rsid w:val="009B448C"/>
    <w:rsid w:val="009B55A7"/>
    <w:rsid w:val="009B60D4"/>
    <w:rsid w:val="009B6A78"/>
    <w:rsid w:val="009B6ABB"/>
    <w:rsid w:val="009B7946"/>
    <w:rsid w:val="009C0BB2"/>
    <w:rsid w:val="009C1ACE"/>
    <w:rsid w:val="009C1CCB"/>
    <w:rsid w:val="009C20A5"/>
    <w:rsid w:val="009C32B8"/>
    <w:rsid w:val="009C3308"/>
    <w:rsid w:val="009C4FA7"/>
    <w:rsid w:val="009C5FF4"/>
    <w:rsid w:val="009C74BC"/>
    <w:rsid w:val="009C75B1"/>
    <w:rsid w:val="009C7983"/>
    <w:rsid w:val="009D09B9"/>
    <w:rsid w:val="009D2389"/>
    <w:rsid w:val="009D2898"/>
    <w:rsid w:val="009D2E9A"/>
    <w:rsid w:val="009D3164"/>
    <w:rsid w:val="009D3CE1"/>
    <w:rsid w:val="009D3E8C"/>
    <w:rsid w:val="009D42B3"/>
    <w:rsid w:val="009D52CB"/>
    <w:rsid w:val="009D5390"/>
    <w:rsid w:val="009D56D9"/>
    <w:rsid w:val="009D5A88"/>
    <w:rsid w:val="009E2240"/>
    <w:rsid w:val="009E22E7"/>
    <w:rsid w:val="009E2610"/>
    <w:rsid w:val="009E46C5"/>
    <w:rsid w:val="009E4782"/>
    <w:rsid w:val="009E561A"/>
    <w:rsid w:val="009E5A8C"/>
    <w:rsid w:val="009E69E7"/>
    <w:rsid w:val="009E6C4D"/>
    <w:rsid w:val="009E7331"/>
    <w:rsid w:val="009E7A29"/>
    <w:rsid w:val="009F0088"/>
    <w:rsid w:val="009F092F"/>
    <w:rsid w:val="009F1211"/>
    <w:rsid w:val="009F159A"/>
    <w:rsid w:val="009F1EE4"/>
    <w:rsid w:val="009F38F5"/>
    <w:rsid w:val="009F4061"/>
    <w:rsid w:val="009F544F"/>
    <w:rsid w:val="009F6221"/>
    <w:rsid w:val="009F6250"/>
    <w:rsid w:val="009F6E19"/>
    <w:rsid w:val="009F7C22"/>
    <w:rsid w:val="00A001D8"/>
    <w:rsid w:val="00A01945"/>
    <w:rsid w:val="00A01AB8"/>
    <w:rsid w:val="00A02F28"/>
    <w:rsid w:val="00A032DB"/>
    <w:rsid w:val="00A0395A"/>
    <w:rsid w:val="00A04217"/>
    <w:rsid w:val="00A0450C"/>
    <w:rsid w:val="00A05036"/>
    <w:rsid w:val="00A06FE7"/>
    <w:rsid w:val="00A07233"/>
    <w:rsid w:val="00A10205"/>
    <w:rsid w:val="00A111F2"/>
    <w:rsid w:val="00A115D2"/>
    <w:rsid w:val="00A146C6"/>
    <w:rsid w:val="00A14830"/>
    <w:rsid w:val="00A1551A"/>
    <w:rsid w:val="00A15800"/>
    <w:rsid w:val="00A15EB0"/>
    <w:rsid w:val="00A16C44"/>
    <w:rsid w:val="00A17245"/>
    <w:rsid w:val="00A175A7"/>
    <w:rsid w:val="00A177A7"/>
    <w:rsid w:val="00A17AB1"/>
    <w:rsid w:val="00A2003A"/>
    <w:rsid w:val="00A203A3"/>
    <w:rsid w:val="00A20448"/>
    <w:rsid w:val="00A215F7"/>
    <w:rsid w:val="00A21CC7"/>
    <w:rsid w:val="00A23EAB"/>
    <w:rsid w:val="00A245C2"/>
    <w:rsid w:val="00A258B9"/>
    <w:rsid w:val="00A26D79"/>
    <w:rsid w:val="00A27208"/>
    <w:rsid w:val="00A30755"/>
    <w:rsid w:val="00A30897"/>
    <w:rsid w:val="00A308B0"/>
    <w:rsid w:val="00A30BE4"/>
    <w:rsid w:val="00A30E38"/>
    <w:rsid w:val="00A31D73"/>
    <w:rsid w:val="00A334C8"/>
    <w:rsid w:val="00A33607"/>
    <w:rsid w:val="00A33B47"/>
    <w:rsid w:val="00A34F7E"/>
    <w:rsid w:val="00A352A3"/>
    <w:rsid w:val="00A36EE0"/>
    <w:rsid w:val="00A36FD3"/>
    <w:rsid w:val="00A377C4"/>
    <w:rsid w:val="00A37923"/>
    <w:rsid w:val="00A40F14"/>
    <w:rsid w:val="00A41A31"/>
    <w:rsid w:val="00A438D7"/>
    <w:rsid w:val="00A43B61"/>
    <w:rsid w:val="00A43C93"/>
    <w:rsid w:val="00A449B3"/>
    <w:rsid w:val="00A45930"/>
    <w:rsid w:val="00A4605C"/>
    <w:rsid w:val="00A46823"/>
    <w:rsid w:val="00A4773B"/>
    <w:rsid w:val="00A47F91"/>
    <w:rsid w:val="00A5076D"/>
    <w:rsid w:val="00A50919"/>
    <w:rsid w:val="00A51049"/>
    <w:rsid w:val="00A511EF"/>
    <w:rsid w:val="00A5144A"/>
    <w:rsid w:val="00A5158E"/>
    <w:rsid w:val="00A51923"/>
    <w:rsid w:val="00A5257F"/>
    <w:rsid w:val="00A538AF"/>
    <w:rsid w:val="00A547E4"/>
    <w:rsid w:val="00A55921"/>
    <w:rsid w:val="00A55ADB"/>
    <w:rsid w:val="00A56B0C"/>
    <w:rsid w:val="00A571C1"/>
    <w:rsid w:val="00A57FD2"/>
    <w:rsid w:val="00A60E32"/>
    <w:rsid w:val="00A61E86"/>
    <w:rsid w:val="00A62DF4"/>
    <w:rsid w:val="00A63BAC"/>
    <w:rsid w:val="00A6407C"/>
    <w:rsid w:val="00A640A1"/>
    <w:rsid w:val="00A65667"/>
    <w:rsid w:val="00A657D7"/>
    <w:rsid w:val="00A66581"/>
    <w:rsid w:val="00A669F1"/>
    <w:rsid w:val="00A66C4C"/>
    <w:rsid w:val="00A672C3"/>
    <w:rsid w:val="00A704B4"/>
    <w:rsid w:val="00A70ECA"/>
    <w:rsid w:val="00A71240"/>
    <w:rsid w:val="00A71D37"/>
    <w:rsid w:val="00A7240C"/>
    <w:rsid w:val="00A7273B"/>
    <w:rsid w:val="00A74990"/>
    <w:rsid w:val="00A74B2C"/>
    <w:rsid w:val="00A753F0"/>
    <w:rsid w:val="00A7564C"/>
    <w:rsid w:val="00A760D0"/>
    <w:rsid w:val="00A76661"/>
    <w:rsid w:val="00A7668A"/>
    <w:rsid w:val="00A77D44"/>
    <w:rsid w:val="00A77D53"/>
    <w:rsid w:val="00A806C8"/>
    <w:rsid w:val="00A81E7D"/>
    <w:rsid w:val="00A821E5"/>
    <w:rsid w:val="00A827F9"/>
    <w:rsid w:val="00A82C0F"/>
    <w:rsid w:val="00A84BCC"/>
    <w:rsid w:val="00A86474"/>
    <w:rsid w:val="00A864B2"/>
    <w:rsid w:val="00A8671E"/>
    <w:rsid w:val="00A8738F"/>
    <w:rsid w:val="00A90389"/>
    <w:rsid w:val="00A904A0"/>
    <w:rsid w:val="00A908B7"/>
    <w:rsid w:val="00A91235"/>
    <w:rsid w:val="00A91400"/>
    <w:rsid w:val="00A91600"/>
    <w:rsid w:val="00A916FB"/>
    <w:rsid w:val="00A9183C"/>
    <w:rsid w:val="00A91CFB"/>
    <w:rsid w:val="00A935F5"/>
    <w:rsid w:val="00A962EE"/>
    <w:rsid w:val="00A96F2E"/>
    <w:rsid w:val="00A974BC"/>
    <w:rsid w:val="00A97819"/>
    <w:rsid w:val="00AA06D2"/>
    <w:rsid w:val="00AA0D55"/>
    <w:rsid w:val="00AA10FC"/>
    <w:rsid w:val="00AA1A3B"/>
    <w:rsid w:val="00AA26BD"/>
    <w:rsid w:val="00AA36A8"/>
    <w:rsid w:val="00AA3DD8"/>
    <w:rsid w:val="00AA4518"/>
    <w:rsid w:val="00AA4C4E"/>
    <w:rsid w:val="00AA57F1"/>
    <w:rsid w:val="00AA5B1D"/>
    <w:rsid w:val="00AA5E8D"/>
    <w:rsid w:val="00AA63C5"/>
    <w:rsid w:val="00AA64DF"/>
    <w:rsid w:val="00AA653A"/>
    <w:rsid w:val="00AA6BA4"/>
    <w:rsid w:val="00AA6D36"/>
    <w:rsid w:val="00AA7BFF"/>
    <w:rsid w:val="00AB09D8"/>
    <w:rsid w:val="00AB134D"/>
    <w:rsid w:val="00AB1DD6"/>
    <w:rsid w:val="00AB1E5A"/>
    <w:rsid w:val="00AB2C1B"/>
    <w:rsid w:val="00AB3307"/>
    <w:rsid w:val="00AB34C6"/>
    <w:rsid w:val="00AB37DE"/>
    <w:rsid w:val="00AB502B"/>
    <w:rsid w:val="00AB5AEE"/>
    <w:rsid w:val="00AB6581"/>
    <w:rsid w:val="00AB7334"/>
    <w:rsid w:val="00AC0BCF"/>
    <w:rsid w:val="00AC11E9"/>
    <w:rsid w:val="00AC127F"/>
    <w:rsid w:val="00AC1303"/>
    <w:rsid w:val="00AC1C52"/>
    <w:rsid w:val="00AC2EEA"/>
    <w:rsid w:val="00AC31EC"/>
    <w:rsid w:val="00AC3601"/>
    <w:rsid w:val="00AC39C1"/>
    <w:rsid w:val="00AC413F"/>
    <w:rsid w:val="00AC440C"/>
    <w:rsid w:val="00AC5BE5"/>
    <w:rsid w:val="00AC7131"/>
    <w:rsid w:val="00AC7907"/>
    <w:rsid w:val="00AC7B41"/>
    <w:rsid w:val="00AC7FF9"/>
    <w:rsid w:val="00AD1C25"/>
    <w:rsid w:val="00AD2031"/>
    <w:rsid w:val="00AD2A21"/>
    <w:rsid w:val="00AD2EE5"/>
    <w:rsid w:val="00AD34C1"/>
    <w:rsid w:val="00AD52C4"/>
    <w:rsid w:val="00AD53E8"/>
    <w:rsid w:val="00AD568E"/>
    <w:rsid w:val="00AD6A95"/>
    <w:rsid w:val="00AD73C5"/>
    <w:rsid w:val="00AD7B43"/>
    <w:rsid w:val="00AD7BC4"/>
    <w:rsid w:val="00AE109A"/>
    <w:rsid w:val="00AE150F"/>
    <w:rsid w:val="00AE1BE3"/>
    <w:rsid w:val="00AE2723"/>
    <w:rsid w:val="00AE3482"/>
    <w:rsid w:val="00AE3B90"/>
    <w:rsid w:val="00AE47AD"/>
    <w:rsid w:val="00AE4D3E"/>
    <w:rsid w:val="00AE6174"/>
    <w:rsid w:val="00AF017B"/>
    <w:rsid w:val="00AF0436"/>
    <w:rsid w:val="00AF0D89"/>
    <w:rsid w:val="00AF1236"/>
    <w:rsid w:val="00AF21E0"/>
    <w:rsid w:val="00AF2C64"/>
    <w:rsid w:val="00AF2CDA"/>
    <w:rsid w:val="00AF3865"/>
    <w:rsid w:val="00AF419C"/>
    <w:rsid w:val="00AF48A4"/>
    <w:rsid w:val="00AF5704"/>
    <w:rsid w:val="00AF6AF1"/>
    <w:rsid w:val="00AF701A"/>
    <w:rsid w:val="00AF70A6"/>
    <w:rsid w:val="00AF7342"/>
    <w:rsid w:val="00B00879"/>
    <w:rsid w:val="00B00C96"/>
    <w:rsid w:val="00B00FAD"/>
    <w:rsid w:val="00B0110B"/>
    <w:rsid w:val="00B01E99"/>
    <w:rsid w:val="00B02721"/>
    <w:rsid w:val="00B03EA4"/>
    <w:rsid w:val="00B04F68"/>
    <w:rsid w:val="00B0596D"/>
    <w:rsid w:val="00B05F56"/>
    <w:rsid w:val="00B0649B"/>
    <w:rsid w:val="00B07A07"/>
    <w:rsid w:val="00B106D8"/>
    <w:rsid w:val="00B10AAC"/>
    <w:rsid w:val="00B10D65"/>
    <w:rsid w:val="00B1235E"/>
    <w:rsid w:val="00B12707"/>
    <w:rsid w:val="00B1381B"/>
    <w:rsid w:val="00B13C96"/>
    <w:rsid w:val="00B1467C"/>
    <w:rsid w:val="00B14D18"/>
    <w:rsid w:val="00B14FB5"/>
    <w:rsid w:val="00B17746"/>
    <w:rsid w:val="00B17CB9"/>
    <w:rsid w:val="00B17FFA"/>
    <w:rsid w:val="00B202F4"/>
    <w:rsid w:val="00B21078"/>
    <w:rsid w:val="00B2107F"/>
    <w:rsid w:val="00B217CF"/>
    <w:rsid w:val="00B224C7"/>
    <w:rsid w:val="00B22AE2"/>
    <w:rsid w:val="00B230AC"/>
    <w:rsid w:val="00B232F0"/>
    <w:rsid w:val="00B2351F"/>
    <w:rsid w:val="00B243BD"/>
    <w:rsid w:val="00B24569"/>
    <w:rsid w:val="00B24723"/>
    <w:rsid w:val="00B2483D"/>
    <w:rsid w:val="00B25658"/>
    <w:rsid w:val="00B25D8A"/>
    <w:rsid w:val="00B26E1C"/>
    <w:rsid w:val="00B27251"/>
    <w:rsid w:val="00B275C5"/>
    <w:rsid w:val="00B27776"/>
    <w:rsid w:val="00B30007"/>
    <w:rsid w:val="00B30117"/>
    <w:rsid w:val="00B309A1"/>
    <w:rsid w:val="00B30B0E"/>
    <w:rsid w:val="00B318DA"/>
    <w:rsid w:val="00B3216F"/>
    <w:rsid w:val="00B32C28"/>
    <w:rsid w:val="00B33872"/>
    <w:rsid w:val="00B3499C"/>
    <w:rsid w:val="00B34D28"/>
    <w:rsid w:val="00B361D6"/>
    <w:rsid w:val="00B3705F"/>
    <w:rsid w:val="00B3780F"/>
    <w:rsid w:val="00B37F68"/>
    <w:rsid w:val="00B41C6E"/>
    <w:rsid w:val="00B42EFA"/>
    <w:rsid w:val="00B4340B"/>
    <w:rsid w:val="00B4376C"/>
    <w:rsid w:val="00B44BBA"/>
    <w:rsid w:val="00B4567D"/>
    <w:rsid w:val="00B4575A"/>
    <w:rsid w:val="00B45E6B"/>
    <w:rsid w:val="00B4654A"/>
    <w:rsid w:val="00B47C37"/>
    <w:rsid w:val="00B47D3B"/>
    <w:rsid w:val="00B50CD5"/>
    <w:rsid w:val="00B51141"/>
    <w:rsid w:val="00B51BF5"/>
    <w:rsid w:val="00B5286A"/>
    <w:rsid w:val="00B52DF6"/>
    <w:rsid w:val="00B52E26"/>
    <w:rsid w:val="00B5330D"/>
    <w:rsid w:val="00B54491"/>
    <w:rsid w:val="00B5465C"/>
    <w:rsid w:val="00B54E20"/>
    <w:rsid w:val="00B54F58"/>
    <w:rsid w:val="00B54FB5"/>
    <w:rsid w:val="00B56975"/>
    <w:rsid w:val="00B56C22"/>
    <w:rsid w:val="00B574C3"/>
    <w:rsid w:val="00B60257"/>
    <w:rsid w:val="00B60745"/>
    <w:rsid w:val="00B609F8"/>
    <w:rsid w:val="00B61B75"/>
    <w:rsid w:val="00B61DB5"/>
    <w:rsid w:val="00B63811"/>
    <w:rsid w:val="00B642A1"/>
    <w:rsid w:val="00B64653"/>
    <w:rsid w:val="00B64A56"/>
    <w:rsid w:val="00B64C20"/>
    <w:rsid w:val="00B65766"/>
    <w:rsid w:val="00B66099"/>
    <w:rsid w:val="00B667A4"/>
    <w:rsid w:val="00B66900"/>
    <w:rsid w:val="00B674DB"/>
    <w:rsid w:val="00B678F7"/>
    <w:rsid w:val="00B702A2"/>
    <w:rsid w:val="00B7133A"/>
    <w:rsid w:val="00B714EC"/>
    <w:rsid w:val="00B7153E"/>
    <w:rsid w:val="00B71C4B"/>
    <w:rsid w:val="00B72A8C"/>
    <w:rsid w:val="00B72BE8"/>
    <w:rsid w:val="00B73C49"/>
    <w:rsid w:val="00B74B18"/>
    <w:rsid w:val="00B762FE"/>
    <w:rsid w:val="00B812EB"/>
    <w:rsid w:val="00B81969"/>
    <w:rsid w:val="00B8253C"/>
    <w:rsid w:val="00B83474"/>
    <w:rsid w:val="00B837C0"/>
    <w:rsid w:val="00B83DEE"/>
    <w:rsid w:val="00B84CC8"/>
    <w:rsid w:val="00B84F96"/>
    <w:rsid w:val="00B85D55"/>
    <w:rsid w:val="00B85DE7"/>
    <w:rsid w:val="00B867F8"/>
    <w:rsid w:val="00B90348"/>
    <w:rsid w:val="00B90F45"/>
    <w:rsid w:val="00B910CA"/>
    <w:rsid w:val="00B938A3"/>
    <w:rsid w:val="00B94003"/>
    <w:rsid w:val="00B946AF"/>
    <w:rsid w:val="00B94870"/>
    <w:rsid w:val="00B95316"/>
    <w:rsid w:val="00B968D7"/>
    <w:rsid w:val="00B97607"/>
    <w:rsid w:val="00B97B1B"/>
    <w:rsid w:val="00BA13C4"/>
    <w:rsid w:val="00BA224E"/>
    <w:rsid w:val="00BA2814"/>
    <w:rsid w:val="00BA29D5"/>
    <w:rsid w:val="00BA3BEA"/>
    <w:rsid w:val="00BA44E2"/>
    <w:rsid w:val="00BA4FBC"/>
    <w:rsid w:val="00BA5BC1"/>
    <w:rsid w:val="00BA6567"/>
    <w:rsid w:val="00BA711B"/>
    <w:rsid w:val="00BA7872"/>
    <w:rsid w:val="00BA7F40"/>
    <w:rsid w:val="00BB0E21"/>
    <w:rsid w:val="00BB1C89"/>
    <w:rsid w:val="00BB1F36"/>
    <w:rsid w:val="00BB2590"/>
    <w:rsid w:val="00BB26F6"/>
    <w:rsid w:val="00BB29DE"/>
    <w:rsid w:val="00BB324B"/>
    <w:rsid w:val="00BB3D11"/>
    <w:rsid w:val="00BB3F89"/>
    <w:rsid w:val="00BB4741"/>
    <w:rsid w:val="00BB5476"/>
    <w:rsid w:val="00BC03D3"/>
    <w:rsid w:val="00BC227F"/>
    <w:rsid w:val="00BC2FB8"/>
    <w:rsid w:val="00BC3DE4"/>
    <w:rsid w:val="00BC50F5"/>
    <w:rsid w:val="00BD058E"/>
    <w:rsid w:val="00BD104C"/>
    <w:rsid w:val="00BD1999"/>
    <w:rsid w:val="00BD37A1"/>
    <w:rsid w:val="00BD43D1"/>
    <w:rsid w:val="00BD6CA5"/>
    <w:rsid w:val="00BD74A5"/>
    <w:rsid w:val="00BD77AC"/>
    <w:rsid w:val="00BD7887"/>
    <w:rsid w:val="00BE13F7"/>
    <w:rsid w:val="00BE1473"/>
    <w:rsid w:val="00BE172E"/>
    <w:rsid w:val="00BE2115"/>
    <w:rsid w:val="00BE22DD"/>
    <w:rsid w:val="00BE2872"/>
    <w:rsid w:val="00BE291B"/>
    <w:rsid w:val="00BE3A17"/>
    <w:rsid w:val="00BE3BAB"/>
    <w:rsid w:val="00BE4EC0"/>
    <w:rsid w:val="00BE5A19"/>
    <w:rsid w:val="00BE7863"/>
    <w:rsid w:val="00BF0883"/>
    <w:rsid w:val="00BF0D23"/>
    <w:rsid w:val="00BF0E8B"/>
    <w:rsid w:val="00BF10EB"/>
    <w:rsid w:val="00BF1E95"/>
    <w:rsid w:val="00BF2D62"/>
    <w:rsid w:val="00BF3180"/>
    <w:rsid w:val="00BF3634"/>
    <w:rsid w:val="00BF3FA4"/>
    <w:rsid w:val="00BF4C8C"/>
    <w:rsid w:val="00BF603B"/>
    <w:rsid w:val="00BF6361"/>
    <w:rsid w:val="00BF6E70"/>
    <w:rsid w:val="00BF749D"/>
    <w:rsid w:val="00BF7691"/>
    <w:rsid w:val="00BF7C4C"/>
    <w:rsid w:val="00C002DE"/>
    <w:rsid w:val="00C00F07"/>
    <w:rsid w:val="00C00F80"/>
    <w:rsid w:val="00C024B8"/>
    <w:rsid w:val="00C02ACD"/>
    <w:rsid w:val="00C034E5"/>
    <w:rsid w:val="00C04B22"/>
    <w:rsid w:val="00C05AA2"/>
    <w:rsid w:val="00C05AC1"/>
    <w:rsid w:val="00C05B04"/>
    <w:rsid w:val="00C1074E"/>
    <w:rsid w:val="00C107B0"/>
    <w:rsid w:val="00C11309"/>
    <w:rsid w:val="00C12F59"/>
    <w:rsid w:val="00C14E5A"/>
    <w:rsid w:val="00C151FF"/>
    <w:rsid w:val="00C16F13"/>
    <w:rsid w:val="00C17B5A"/>
    <w:rsid w:val="00C17F8B"/>
    <w:rsid w:val="00C201D0"/>
    <w:rsid w:val="00C20B5B"/>
    <w:rsid w:val="00C24908"/>
    <w:rsid w:val="00C24F5F"/>
    <w:rsid w:val="00C25112"/>
    <w:rsid w:val="00C254B4"/>
    <w:rsid w:val="00C261C2"/>
    <w:rsid w:val="00C26F23"/>
    <w:rsid w:val="00C27545"/>
    <w:rsid w:val="00C276AE"/>
    <w:rsid w:val="00C277AC"/>
    <w:rsid w:val="00C27850"/>
    <w:rsid w:val="00C27E44"/>
    <w:rsid w:val="00C27FE5"/>
    <w:rsid w:val="00C30629"/>
    <w:rsid w:val="00C3197C"/>
    <w:rsid w:val="00C322EA"/>
    <w:rsid w:val="00C32325"/>
    <w:rsid w:val="00C33025"/>
    <w:rsid w:val="00C33890"/>
    <w:rsid w:val="00C338D9"/>
    <w:rsid w:val="00C33A42"/>
    <w:rsid w:val="00C3433D"/>
    <w:rsid w:val="00C343E4"/>
    <w:rsid w:val="00C350AB"/>
    <w:rsid w:val="00C355C4"/>
    <w:rsid w:val="00C37099"/>
    <w:rsid w:val="00C371E3"/>
    <w:rsid w:val="00C37B21"/>
    <w:rsid w:val="00C422B0"/>
    <w:rsid w:val="00C42EB2"/>
    <w:rsid w:val="00C435B1"/>
    <w:rsid w:val="00C44381"/>
    <w:rsid w:val="00C4465F"/>
    <w:rsid w:val="00C44D5F"/>
    <w:rsid w:val="00C44DBB"/>
    <w:rsid w:val="00C45C28"/>
    <w:rsid w:val="00C46426"/>
    <w:rsid w:val="00C468DC"/>
    <w:rsid w:val="00C46BF5"/>
    <w:rsid w:val="00C47C2C"/>
    <w:rsid w:val="00C47E3B"/>
    <w:rsid w:val="00C506E4"/>
    <w:rsid w:val="00C50FD7"/>
    <w:rsid w:val="00C51392"/>
    <w:rsid w:val="00C528A9"/>
    <w:rsid w:val="00C528C9"/>
    <w:rsid w:val="00C533C2"/>
    <w:rsid w:val="00C5410B"/>
    <w:rsid w:val="00C54265"/>
    <w:rsid w:val="00C54316"/>
    <w:rsid w:val="00C54E06"/>
    <w:rsid w:val="00C55BDD"/>
    <w:rsid w:val="00C55DAD"/>
    <w:rsid w:val="00C55E6C"/>
    <w:rsid w:val="00C565E5"/>
    <w:rsid w:val="00C56E96"/>
    <w:rsid w:val="00C56F80"/>
    <w:rsid w:val="00C573F4"/>
    <w:rsid w:val="00C60D7B"/>
    <w:rsid w:val="00C61BC5"/>
    <w:rsid w:val="00C62B78"/>
    <w:rsid w:val="00C638FC"/>
    <w:rsid w:val="00C64C7D"/>
    <w:rsid w:val="00C65B87"/>
    <w:rsid w:val="00C668B9"/>
    <w:rsid w:val="00C66912"/>
    <w:rsid w:val="00C66BE7"/>
    <w:rsid w:val="00C66E1E"/>
    <w:rsid w:val="00C676DC"/>
    <w:rsid w:val="00C71137"/>
    <w:rsid w:val="00C71961"/>
    <w:rsid w:val="00C73A31"/>
    <w:rsid w:val="00C757BE"/>
    <w:rsid w:val="00C75B78"/>
    <w:rsid w:val="00C76029"/>
    <w:rsid w:val="00C77B19"/>
    <w:rsid w:val="00C80678"/>
    <w:rsid w:val="00C80875"/>
    <w:rsid w:val="00C808C6"/>
    <w:rsid w:val="00C8356D"/>
    <w:rsid w:val="00C83CA9"/>
    <w:rsid w:val="00C845FE"/>
    <w:rsid w:val="00C84DD4"/>
    <w:rsid w:val="00C85602"/>
    <w:rsid w:val="00C85A50"/>
    <w:rsid w:val="00C8695D"/>
    <w:rsid w:val="00C86B16"/>
    <w:rsid w:val="00C90734"/>
    <w:rsid w:val="00C90D85"/>
    <w:rsid w:val="00C912C4"/>
    <w:rsid w:val="00C92455"/>
    <w:rsid w:val="00C92545"/>
    <w:rsid w:val="00C92EBC"/>
    <w:rsid w:val="00C9405F"/>
    <w:rsid w:val="00C9470B"/>
    <w:rsid w:val="00C95339"/>
    <w:rsid w:val="00C95407"/>
    <w:rsid w:val="00C9798E"/>
    <w:rsid w:val="00CA0FEF"/>
    <w:rsid w:val="00CA1A3A"/>
    <w:rsid w:val="00CA25F9"/>
    <w:rsid w:val="00CA449B"/>
    <w:rsid w:val="00CA4D34"/>
    <w:rsid w:val="00CA5D66"/>
    <w:rsid w:val="00CA646B"/>
    <w:rsid w:val="00CA71BA"/>
    <w:rsid w:val="00CA7BF0"/>
    <w:rsid w:val="00CA7EEF"/>
    <w:rsid w:val="00CB0181"/>
    <w:rsid w:val="00CB0EA3"/>
    <w:rsid w:val="00CB0EEB"/>
    <w:rsid w:val="00CB0F44"/>
    <w:rsid w:val="00CB0FB1"/>
    <w:rsid w:val="00CB2387"/>
    <w:rsid w:val="00CB26A4"/>
    <w:rsid w:val="00CB4913"/>
    <w:rsid w:val="00CB4DE0"/>
    <w:rsid w:val="00CB4EEC"/>
    <w:rsid w:val="00CB5411"/>
    <w:rsid w:val="00CB5D70"/>
    <w:rsid w:val="00CB64DB"/>
    <w:rsid w:val="00CB6A1E"/>
    <w:rsid w:val="00CB6D3B"/>
    <w:rsid w:val="00CB6F7A"/>
    <w:rsid w:val="00CB73C5"/>
    <w:rsid w:val="00CB7821"/>
    <w:rsid w:val="00CC16C0"/>
    <w:rsid w:val="00CC234D"/>
    <w:rsid w:val="00CC247B"/>
    <w:rsid w:val="00CC32B8"/>
    <w:rsid w:val="00CC392B"/>
    <w:rsid w:val="00CC3DA1"/>
    <w:rsid w:val="00CC45FA"/>
    <w:rsid w:val="00CC5C55"/>
    <w:rsid w:val="00CC6108"/>
    <w:rsid w:val="00CD11F7"/>
    <w:rsid w:val="00CD3217"/>
    <w:rsid w:val="00CD35BC"/>
    <w:rsid w:val="00CD4B11"/>
    <w:rsid w:val="00CD4B1B"/>
    <w:rsid w:val="00CD5608"/>
    <w:rsid w:val="00CD5913"/>
    <w:rsid w:val="00CD6C4B"/>
    <w:rsid w:val="00CD6E23"/>
    <w:rsid w:val="00CD6F11"/>
    <w:rsid w:val="00CD7BD4"/>
    <w:rsid w:val="00CD7D0F"/>
    <w:rsid w:val="00CE03DC"/>
    <w:rsid w:val="00CE09E2"/>
    <w:rsid w:val="00CE1A99"/>
    <w:rsid w:val="00CE28CC"/>
    <w:rsid w:val="00CE28E8"/>
    <w:rsid w:val="00CE45B5"/>
    <w:rsid w:val="00CE4CC2"/>
    <w:rsid w:val="00CE59C6"/>
    <w:rsid w:val="00CE5EE9"/>
    <w:rsid w:val="00CE6587"/>
    <w:rsid w:val="00CE6691"/>
    <w:rsid w:val="00CE73E8"/>
    <w:rsid w:val="00CF0499"/>
    <w:rsid w:val="00CF103F"/>
    <w:rsid w:val="00CF12BB"/>
    <w:rsid w:val="00CF130A"/>
    <w:rsid w:val="00CF2D0A"/>
    <w:rsid w:val="00CF36E7"/>
    <w:rsid w:val="00CF3D7F"/>
    <w:rsid w:val="00CF4171"/>
    <w:rsid w:val="00CF4546"/>
    <w:rsid w:val="00CF4706"/>
    <w:rsid w:val="00CF5B8F"/>
    <w:rsid w:val="00CF6972"/>
    <w:rsid w:val="00CF7A45"/>
    <w:rsid w:val="00CF7F93"/>
    <w:rsid w:val="00D001E4"/>
    <w:rsid w:val="00D006F2"/>
    <w:rsid w:val="00D008E0"/>
    <w:rsid w:val="00D00F5B"/>
    <w:rsid w:val="00D01FAF"/>
    <w:rsid w:val="00D02552"/>
    <w:rsid w:val="00D026EB"/>
    <w:rsid w:val="00D0343B"/>
    <w:rsid w:val="00D0352E"/>
    <w:rsid w:val="00D04ECB"/>
    <w:rsid w:val="00D0533E"/>
    <w:rsid w:val="00D054DF"/>
    <w:rsid w:val="00D062AD"/>
    <w:rsid w:val="00D079F2"/>
    <w:rsid w:val="00D07A1F"/>
    <w:rsid w:val="00D10BAA"/>
    <w:rsid w:val="00D10E56"/>
    <w:rsid w:val="00D113FA"/>
    <w:rsid w:val="00D11637"/>
    <w:rsid w:val="00D11FF3"/>
    <w:rsid w:val="00D120AF"/>
    <w:rsid w:val="00D120DC"/>
    <w:rsid w:val="00D12467"/>
    <w:rsid w:val="00D1280B"/>
    <w:rsid w:val="00D12838"/>
    <w:rsid w:val="00D12C28"/>
    <w:rsid w:val="00D135D4"/>
    <w:rsid w:val="00D14BF5"/>
    <w:rsid w:val="00D1534A"/>
    <w:rsid w:val="00D15388"/>
    <w:rsid w:val="00D15EB8"/>
    <w:rsid w:val="00D16655"/>
    <w:rsid w:val="00D179BA"/>
    <w:rsid w:val="00D223C2"/>
    <w:rsid w:val="00D22423"/>
    <w:rsid w:val="00D22880"/>
    <w:rsid w:val="00D22DBD"/>
    <w:rsid w:val="00D231FC"/>
    <w:rsid w:val="00D23F01"/>
    <w:rsid w:val="00D2436D"/>
    <w:rsid w:val="00D24CDC"/>
    <w:rsid w:val="00D25161"/>
    <w:rsid w:val="00D254F6"/>
    <w:rsid w:val="00D26AAF"/>
    <w:rsid w:val="00D27570"/>
    <w:rsid w:val="00D27BB6"/>
    <w:rsid w:val="00D27C27"/>
    <w:rsid w:val="00D30F25"/>
    <w:rsid w:val="00D3101C"/>
    <w:rsid w:val="00D31379"/>
    <w:rsid w:val="00D328ED"/>
    <w:rsid w:val="00D3307E"/>
    <w:rsid w:val="00D33403"/>
    <w:rsid w:val="00D33833"/>
    <w:rsid w:val="00D33AC9"/>
    <w:rsid w:val="00D3629D"/>
    <w:rsid w:val="00D36A23"/>
    <w:rsid w:val="00D379FE"/>
    <w:rsid w:val="00D40726"/>
    <w:rsid w:val="00D40D22"/>
    <w:rsid w:val="00D424BD"/>
    <w:rsid w:val="00D42AAE"/>
    <w:rsid w:val="00D43717"/>
    <w:rsid w:val="00D44521"/>
    <w:rsid w:val="00D454B5"/>
    <w:rsid w:val="00D45FF6"/>
    <w:rsid w:val="00D461CD"/>
    <w:rsid w:val="00D46965"/>
    <w:rsid w:val="00D47068"/>
    <w:rsid w:val="00D506BA"/>
    <w:rsid w:val="00D50BEF"/>
    <w:rsid w:val="00D50DD4"/>
    <w:rsid w:val="00D51C43"/>
    <w:rsid w:val="00D51E08"/>
    <w:rsid w:val="00D52A17"/>
    <w:rsid w:val="00D52A36"/>
    <w:rsid w:val="00D52D13"/>
    <w:rsid w:val="00D53536"/>
    <w:rsid w:val="00D5379C"/>
    <w:rsid w:val="00D57493"/>
    <w:rsid w:val="00D60BF5"/>
    <w:rsid w:val="00D60F9C"/>
    <w:rsid w:val="00D63028"/>
    <w:rsid w:val="00D6431C"/>
    <w:rsid w:val="00D6445D"/>
    <w:rsid w:val="00D64AF8"/>
    <w:rsid w:val="00D6628A"/>
    <w:rsid w:val="00D701EA"/>
    <w:rsid w:val="00D70D6E"/>
    <w:rsid w:val="00D70F5D"/>
    <w:rsid w:val="00D716CB"/>
    <w:rsid w:val="00D7170C"/>
    <w:rsid w:val="00D71A9F"/>
    <w:rsid w:val="00D72436"/>
    <w:rsid w:val="00D72786"/>
    <w:rsid w:val="00D72F77"/>
    <w:rsid w:val="00D744D4"/>
    <w:rsid w:val="00D74E7D"/>
    <w:rsid w:val="00D76368"/>
    <w:rsid w:val="00D77912"/>
    <w:rsid w:val="00D80345"/>
    <w:rsid w:val="00D8298C"/>
    <w:rsid w:val="00D83A4B"/>
    <w:rsid w:val="00D84B04"/>
    <w:rsid w:val="00D85072"/>
    <w:rsid w:val="00D850E9"/>
    <w:rsid w:val="00D8528E"/>
    <w:rsid w:val="00D8618D"/>
    <w:rsid w:val="00D86DDA"/>
    <w:rsid w:val="00D86ECB"/>
    <w:rsid w:val="00D87BD8"/>
    <w:rsid w:val="00D921E6"/>
    <w:rsid w:val="00D92739"/>
    <w:rsid w:val="00D938B1"/>
    <w:rsid w:val="00D963FC"/>
    <w:rsid w:val="00D9699D"/>
    <w:rsid w:val="00D9725D"/>
    <w:rsid w:val="00DA040D"/>
    <w:rsid w:val="00DA0467"/>
    <w:rsid w:val="00DA0575"/>
    <w:rsid w:val="00DA06FA"/>
    <w:rsid w:val="00DA0CEC"/>
    <w:rsid w:val="00DA1435"/>
    <w:rsid w:val="00DA30C9"/>
    <w:rsid w:val="00DA31B6"/>
    <w:rsid w:val="00DA38DA"/>
    <w:rsid w:val="00DA3B9E"/>
    <w:rsid w:val="00DA3E13"/>
    <w:rsid w:val="00DA436E"/>
    <w:rsid w:val="00DA47BC"/>
    <w:rsid w:val="00DA5AFB"/>
    <w:rsid w:val="00DA5C31"/>
    <w:rsid w:val="00DA5C52"/>
    <w:rsid w:val="00DA5E33"/>
    <w:rsid w:val="00DA60E1"/>
    <w:rsid w:val="00DA7534"/>
    <w:rsid w:val="00DA7683"/>
    <w:rsid w:val="00DA7A47"/>
    <w:rsid w:val="00DB1213"/>
    <w:rsid w:val="00DB1803"/>
    <w:rsid w:val="00DB1CE1"/>
    <w:rsid w:val="00DB1D03"/>
    <w:rsid w:val="00DB35D4"/>
    <w:rsid w:val="00DB4089"/>
    <w:rsid w:val="00DB4AF4"/>
    <w:rsid w:val="00DB51BC"/>
    <w:rsid w:val="00DB53DD"/>
    <w:rsid w:val="00DB55BA"/>
    <w:rsid w:val="00DB57C7"/>
    <w:rsid w:val="00DB5916"/>
    <w:rsid w:val="00DB66F8"/>
    <w:rsid w:val="00DB702D"/>
    <w:rsid w:val="00DB7438"/>
    <w:rsid w:val="00DB7514"/>
    <w:rsid w:val="00DB7717"/>
    <w:rsid w:val="00DB7E78"/>
    <w:rsid w:val="00DC0F1F"/>
    <w:rsid w:val="00DC12C3"/>
    <w:rsid w:val="00DC14DF"/>
    <w:rsid w:val="00DC211A"/>
    <w:rsid w:val="00DC366C"/>
    <w:rsid w:val="00DC5A6B"/>
    <w:rsid w:val="00DC6128"/>
    <w:rsid w:val="00DC7398"/>
    <w:rsid w:val="00DD026B"/>
    <w:rsid w:val="00DD0FFE"/>
    <w:rsid w:val="00DD11E1"/>
    <w:rsid w:val="00DD1250"/>
    <w:rsid w:val="00DD16F0"/>
    <w:rsid w:val="00DD26F1"/>
    <w:rsid w:val="00DD3BA4"/>
    <w:rsid w:val="00DD52C9"/>
    <w:rsid w:val="00DD64BA"/>
    <w:rsid w:val="00DD66BB"/>
    <w:rsid w:val="00DD66D7"/>
    <w:rsid w:val="00DD6BC6"/>
    <w:rsid w:val="00DD7195"/>
    <w:rsid w:val="00DD72AB"/>
    <w:rsid w:val="00DD78AE"/>
    <w:rsid w:val="00DD7AB7"/>
    <w:rsid w:val="00DD7ED4"/>
    <w:rsid w:val="00DE0097"/>
    <w:rsid w:val="00DE04A0"/>
    <w:rsid w:val="00DE059D"/>
    <w:rsid w:val="00DE1698"/>
    <w:rsid w:val="00DE2118"/>
    <w:rsid w:val="00DE37C8"/>
    <w:rsid w:val="00DE3CA6"/>
    <w:rsid w:val="00DE4349"/>
    <w:rsid w:val="00DE46DB"/>
    <w:rsid w:val="00DE4ACC"/>
    <w:rsid w:val="00DE4E8E"/>
    <w:rsid w:val="00DE58D9"/>
    <w:rsid w:val="00DE5C63"/>
    <w:rsid w:val="00DE620D"/>
    <w:rsid w:val="00DE6672"/>
    <w:rsid w:val="00DE69A2"/>
    <w:rsid w:val="00DF05F7"/>
    <w:rsid w:val="00DF1D3B"/>
    <w:rsid w:val="00DF1DED"/>
    <w:rsid w:val="00DF1ECC"/>
    <w:rsid w:val="00DF1EFC"/>
    <w:rsid w:val="00DF2F78"/>
    <w:rsid w:val="00DF3303"/>
    <w:rsid w:val="00DF3899"/>
    <w:rsid w:val="00DF63DE"/>
    <w:rsid w:val="00DF6C5C"/>
    <w:rsid w:val="00E00718"/>
    <w:rsid w:val="00E0131F"/>
    <w:rsid w:val="00E01E99"/>
    <w:rsid w:val="00E02B7F"/>
    <w:rsid w:val="00E02FB1"/>
    <w:rsid w:val="00E03410"/>
    <w:rsid w:val="00E0373A"/>
    <w:rsid w:val="00E03E82"/>
    <w:rsid w:val="00E04F4E"/>
    <w:rsid w:val="00E05947"/>
    <w:rsid w:val="00E061D1"/>
    <w:rsid w:val="00E0707A"/>
    <w:rsid w:val="00E10655"/>
    <w:rsid w:val="00E1091F"/>
    <w:rsid w:val="00E10F62"/>
    <w:rsid w:val="00E11F08"/>
    <w:rsid w:val="00E1487E"/>
    <w:rsid w:val="00E14D55"/>
    <w:rsid w:val="00E1641B"/>
    <w:rsid w:val="00E1697B"/>
    <w:rsid w:val="00E17B07"/>
    <w:rsid w:val="00E17E7D"/>
    <w:rsid w:val="00E20428"/>
    <w:rsid w:val="00E20695"/>
    <w:rsid w:val="00E20DFB"/>
    <w:rsid w:val="00E21CC8"/>
    <w:rsid w:val="00E22038"/>
    <w:rsid w:val="00E226E5"/>
    <w:rsid w:val="00E23436"/>
    <w:rsid w:val="00E239C7"/>
    <w:rsid w:val="00E23B91"/>
    <w:rsid w:val="00E24B80"/>
    <w:rsid w:val="00E24CBE"/>
    <w:rsid w:val="00E2551A"/>
    <w:rsid w:val="00E26497"/>
    <w:rsid w:val="00E26E30"/>
    <w:rsid w:val="00E27332"/>
    <w:rsid w:val="00E27A08"/>
    <w:rsid w:val="00E27B83"/>
    <w:rsid w:val="00E27D17"/>
    <w:rsid w:val="00E30DF5"/>
    <w:rsid w:val="00E316FF"/>
    <w:rsid w:val="00E3179F"/>
    <w:rsid w:val="00E32C1B"/>
    <w:rsid w:val="00E34389"/>
    <w:rsid w:val="00E34404"/>
    <w:rsid w:val="00E34692"/>
    <w:rsid w:val="00E34828"/>
    <w:rsid w:val="00E34AAB"/>
    <w:rsid w:val="00E34AF5"/>
    <w:rsid w:val="00E35118"/>
    <w:rsid w:val="00E35298"/>
    <w:rsid w:val="00E357CE"/>
    <w:rsid w:val="00E35844"/>
    <w:rsid w:val="00E35CDB"/>
    <w:rsid w:val="00E35EC9"/>
    <w:rsid w:val="00E36A98"/>
    <w:rsid w:val="00E37C17"/>
    <w:rsid w:val="00E37CFE"/>
    <w:rsid w:val="00E4005D"/>
    <w:rsid w:val="00E40703"/>
    <w:rsid w:val="00E4102B"/>
    <w:rsid w:val="00E41247"/>
    <w:rsid w:val="00E41945"/>
    <w:rsid w:val="00E42014"/>
    <w:rsid w:val="00E4201E"/>
    <w:rsid w:val="00E4212E"/>
    <w:rsid w:val="00E434A3"/>
    <w:rsid w:val="00E43989"/>
    <w:rsid w:val="00E43BFB"/>
    <w:rsid w:val="00E43C50"/>
    <w:rsid w:val="00E443E5"/>
    <w:rsid w:val="00E4473F"/>
    <w:rsid w:val="00E46E40"/>
    <w:rsid w:val="00E46EAC"/>
    <w:rsid w:val="00E47138"/>
    <w:rsid w:val="00E474AA"/>
    <w:rsid w:val="00E4760C"/>
    <w:rsid w:val="00E51379"/>
    <w:rsid w:val="00E5359B"/>
    <w:rsid w:val="00E5411F"/>
    <w:rsid w:val="00E549DD"/>
    <w:rsid w:val="00E54DE1"/>
    <w:rsid w:val="00E560FE"/>
    <w:rsid w:val="00E563B1"/>
    <w:rsid w:val="00E56485"/>
    <w:rsid w:val="00E57D3C"/>
    <w:rsid w:val="00E60398"/>
    <w:rsid w:val="00E621F9"/>
    <w:rsid w:val="00E624B0"/>
    <w:rsid w:val="00E6480B"/>
    <w:rsid w:val="00E648BF"/>
    <w:rsid w:val="00E65C4C"/>
    <w:rsid w:val="00E65D16"/>
    <w:rsid w:val="00E6685A"/>
    <w:rsid w:val="00E703F3"/>
    <w:rsid w:val="00E721DD"/>
    <w:rsid w:val="00E725CA"/>
    <w:rsid w:val="00E7288F"/>
    <w:rsid w:val="00E72C64"/>
    <w:rsid w:val="00E73565"/>
    <w:rsid w:val="00E7505F"/>
    <w:rsid w:val="00E7532E"/>
    <w:rsid w:val="00E7601A"/>
    <w:rsid w:val="00E7639B"/>
    <w:rsid w:val="00E77111"/>
    <w:rsid w:val="00E7751C"/>
    <w:rsid w:val="00E77A18"/>
    <w:rsid w:val="00E77D30"/>
    <w:rsid w:val="00E808C5"/>
    <w:rsid w:val="00E80996"/>
    <w:rsid w:val="00E80C30"/>
    <w:rsid w:val="00E82B13"/>
    <w:rsid w:val="00E84536"/>
    <w:rsid w:val="00E84D64"/>
    <w:rsid w:val="00E86059"/>
    <w:rsid w:val="00E863C9"/>
    <w:rsid w:val="00E87354"/>
    <w:rsid w:val="00E8792C"/>
    <w:rsid w:val="00E879D2"/>
    <w:rsid w:val="00E87B79"/>
    <w:rsid w:val="00E87DA7"/>
    <w:rsid w:val="00E9134A"/>
    <w:rsid w:val="00E91CB7"/>
    <w:rsid w:val="00E92878"/>
    <w:rsid w:val="00E9396E"/>
    <w:rsid w:val="00E941D7"/>
    <w:rsid w:val="00E95E6D"/>
    <w:rsid w:val="00E96099"/>
    <w:rsid w:val="00E967A9"/>
    <w:rsid w:val="00E97266"/>
    <w:rsid w:val="00E972AF"/>
    <w:rsid w:val="00E97680"/>
    <w:rsid w:val="00EA075A"/>
    <w:rsid w:val="00EA093D"/>
    <w:rsid w:val="00EA22BB"/>
    <w:rsid w:val="00EA2914"/>
    <w:rsid w:val="00EA5D7E"/>
    <w:rsid w:val="00EA7365"/>
    <w:rsid w:val="00EB03C6"/>
    <w:rsid w:val="00EB0704"/>
    <w:rsid w:val="00EB1790"/>
    <w:rsid w:val="00EB22F9"/>
    <w:rsid w:val="00EB2D8C"/>
    <w:rsid w:val="00EB2DF4"/>
    <w:rsid w:val="00EB3A3E"/>
    <w:rsid w:val="00EB3F23"/>
    <w:rsid w:val="00EB41AC"/>
    <w:rsid w:val="00EB5104"/>
    <w:rsid w:val="00EB5E81"/>
    <w:rsid w:val="00EB603C"/>
    <w:rsid w:val="00EB6761"/>
    <w:rsid w:val="00EB7447"/>
    <w:rsid w:val="00EC0B51"/>
    <w:rsid w:val="00EC40EF"/>
    <w:rsid w:val="00EC4BBA"/>
    <w:rsid w:val="00EC4ED6"/>
    <w:rsid w:val="00EC5523"/>
    <w:rsid w:val="00EC5A0B"/>
    <w:rsid w:val="00EC5E8A"/>
    <w:rsid w:val="00EC686F"/>
    <w:rsid w:val="00EC7B07"/>
    <w:rsid w:val="00ED08FC"/>
    <w:rsid w:val="00ED0FD2"/>
    <w:rsid w:val="00ED13FA"/>
    <w:rsid w:val="00ED2235"/>
    <w:rsid w:val="00ED2BCB"/>
    <w:rsid w:val="00ED2F64"/>
    <w:rsid w:val="00ED36C8"/>
    <w:rsid w:val="00ED3B2E"/>
    <w:rsid w:val="00ED3FFB"/>
    <w:rsid w:val="00ED464D"/>
    <w:rsid w:val="00ED5300"/>
    <w:rsid w:val="00ED5A5F"/>
    <w:rsid w:val="00ED642E"/>
    <w:rsid w:val="00ED791F"/>
    <w:rsid w:val="00ED7C7B"/>
    <w:rsid w:val="00EE0150"/>
    <w:rsid w:val="00EE1683"/>
    <w:rsid w:val="00EE28CD"/>
    <w:rsid w:val="00EE2B8D"/>
    <w:rsid w:val="00EE2E2E"/>
    <w:rsid w:val="00EE31B3"/>
    <w:rsid w:val="00EE33C5"/>
    <w:rsid w:val="00EE43F4"/>
    <w:rsid w:val="00EE5394"/>
    <w:rsid w:val="00EE6FA0"/>
    <w:rsid w:val="00EE77C4"/>
    <w:rsid w:val="00EE7ECA"/>
    <w:rsid w:val="00EF0365"/>
    <w:rsid w:val="00EF163D"/>
    <w:rsid w:val="00EF2838"/>
    <w:rsid w:val="00EF3AB4"/>
    <w:rsid w:val="00EF3E3D"/>
    <w:rsid w:val="00EF64D0"/>
    <w:rsid w:val="00EF7565"/>
    <w:rsid w:val="00EF7575"/>
    <w:rsid w:val="00EF7E88"/>
    <w:rsid w:val="00F00A6F"/>
    <w:rsid w:val="00F00B0C"/>
    <w:rsid w:val="00F021A4"/>
    <w:rsid w:val="00F02B79"/>
    <w:rsid w:val="00F031E8"/>
    <w:rsid w:val="00F048F9"/>
    <w:rsid w:val="00F07D03"/>
    <w:rsid w:val="00F118B2"/>
    <w:rsid w:val="00F1271A"/>
    <w:rsid w:val="00F12E61"/>
    <w:rsid w:val="00F136DC"/>
    <w:rsid w:val="00F13FF7"/>
    <w:rsid w:val="00F140E1"/>
    <w:rsid w:val="00F163E4"/>
    <w:rsid w:val="00F170C0"/>
    <w:rsid w:val="00F206B6"/>
    <w:rsid w:val="00F208F2"/>
    <w:rsid w:val="00F2105D"/>
    <w:rsid w:val="00F210FC"/>
    <w:rsid w:val="00F21BD0"/>
    <w:rsid w:val="00F22440"/>
    <w:rsid w:val="00F232EE"/>
    <w:rsid w:val="00F23B32"/>
    <w:rsid w:val="00F24FE6"/>
    <w:rsid w:val="00F25BEF"/>
    <w:rsid w:val="00F263F9"/>
    <w:rsid w:val="00F27164"/>
    <w:rsid w:val="00F272C0"/>
    <w:rsid w:val="00F30D92"/>
    <w:rsid w:val="00F319E7"/>
    <w:rsid w:val="00F32964"/>
    <w:rsid w:val="00F33FD9"/>
    <w:rsid w:val="00F33FE2"/>
    <w:rsid w:val="00F3504A"/>
    <w:rsid w:val="00F350FB"/>
    <w:rsid w:val="00F35B9D"/>
    <w:rsid w:val="00F36B02"/>
    <w:rsid w:val="00F4078D"/>
    <w:rsid w:val="00F410DB"/>
    <w:rsid w:val="00F42107"/>
    <w:rsid w:val="00F4441A"/>
    <w:rsid w:val="00F44ACB"/>
    <w:rsid w:val="00F44E1A"/>
    <w:rsid w:val="00F4529E"/>
    <w:rsid w:val="00F45320"/>
    <w:rsid w:val="00F45897"/>
    <w:rsid w:val="00F4589E"/>
    <w:rsid w:val="00F45C8C"/>
    <w:rsid w:val="00F470A9"/>
    <w:rsid w:val="00F50316"/>
    <w:rsid w:val="00F50BDC"/>
    <w:rsid w:val="00F521B1"/>
    <w:rsid w:val="00F5277D"/>
    <w:rsid w:val="00F539D1"/>
    <w:rsid w:val="00F54D17"/>
    <w:rsid w:val="00F55647"/>
    <w:rsid w:val="00F556BA"/>
    <w:rsid w:val="00F56787"/>
    <w:rsid w:val="00F56FED"/>
    <w:rsid w:val="00F57167"/>
    <w:rsid w:val="00F571E9"/>
    <w:rsid w:val="00F57FA3"/>
    <w:rsid w:val="00F60097"/>
    <w:rsid w:val="00F605DD"/>
    <w:rsid w:val="00F60FDE"/>
    <w:rsid w:val="00F6229E"/>
    <w:rsid w:val="00F62489"/>
    <w:rsid w:val="00F62C41"/>
    <w:rsid w:val="00F62F82"/>
    <w:rsid w:val="00F6380E"/>
    <w:rsid w:val="00F63B18"/>
    <w:rsid w:val="00F64DBE"/>
    <w:rsid w:val="00F6502D"/>
    <w:rsid w:val="00F6584C"/>
    <w:rsid w:val="00F703BE"/>
    <w:rsid w:val="00F7077D"/>
    <w:rsid w:val="00F718D6"/>
    <w:rsid w:val="00F71F58"/>
    <w:rsid w:val="00F7217A"/>
    <w:rsid w:val="00F722CF"/>
    <w:rsid w:val="00F725FE"/>
    <w:rsid w:val="00F73506"/>
    <w:rsid w:val="00F7445F"/>
    <w:rsid w:val="00F76481"/>
    <w:rsid w:val="00F76C9D"/>
    <w:rsid w:val="00F77383"/>
    <w:rsid w:val="00F773C0"/>
    <w:rsid w:val="00F77BE9"/>
    <w:rsid w:val="00F8160B"/>
    <w:rsid w:val="00F825B9"/>
    <w:rsid w:val="00F83F6D"/>
    <w:rsid w:val="00F84761"/>
    <w:rsid w:val="00F854F1"/>
    <w:rsid w:val="00F8645C"/>
    <w:rsid w:val="00F87267"/>
    <w:rsid w:val="00F87283"/>
    <w:rsid w:val="00F872BF"/>
    <w:rsid w:val="00F876AC"/>
    <w:rsid w:val="00F923A8"/>
    <w:rsid w:val="00F92452"/>
    <w:rsid w:val="00F93668"/>
    <w:rsid w:val="00F93C60"/>
    <w:rsid w:val="00F93F37"/>
    <w:rsid w:val="00F94406"/>
    <w:rsid w:val="00F949A2"/>
    <w:rsid w:val="00F95C67"/>
    <w:rsid w:val="00F95C7C"/>
    <w:rsid w:val="00F97532"/>
    <w:rsid w:val="00F97EF8"/>
    <w:rsid w:val="00FA1DE3"/>
    <w:rsid w:val="00FA2076"/>
    <w:rsid w:val="00FA2886"/>
    <w:rsid w:val="00FA3E67"/>
    <w:rsid w:val="00FA71C4"/>
    <w:rsid w:val="00FA728B"/>
    <w:rsid w:val="00FA761A"/>
    <w:rsid w:val="00FA76B2"/>
    <w:rsid w:val="00FA7B24"/>
    <w:rsid w:val="00FA7D35"/>
    <w:rsid w:val="00FB0511"/>
    <w:rsid w:val="00FB12DC"/>
    <w:rsid w:val="00FB13B2"/>
    <w:rsid w:val="00FB16D1"/>
    <w:rsid w:val="00FB253A"/>
    <w:rsid w:val="00FB28C4"/>
    <w:rsid w:val="00FB4A03"/>
    <w:rsid w:val="00FB62AC"/>
    <w:rsid w:val="00FB7832"/>
    <w:rsid w:val="00FB7BAF"/>
    <w:rsid w:val="00FB7F02"/>
    <w:rsid w:val="00FC01AE"/>
    <w:rsid w:val="00FC0DB0"/>
    <w:rsid w:val="00FC1AF1"/>
    <w:rsid w:val="00FC1D8D"/>
    <w:rsid w:val="00FC21CB"/>
    <w:rsid w:val="00FC2C91"/>
    <w:rsid w:val="00FC3D30"/>
    <w:rsid w:val="00FC4B25"/>
    <w:rsid w:val="00FC663D"/>
    <w:rsid w:val="00FC7251"/>
    <w:rsid w:val="00FC77C4"/>
    <w:rsid w:val="00FC7C67"/>
    <w:rsid w:val="00FC7F09"/>
    <w:rsid w:val="00FD046D"/>
    <w:rsid w:val="00FD1D6E"/>
    <w:rsid w:val="00FD24F0"/>
    <w:rsid w:val="00FD2760"/>
    <w:rsid w:val="00FD3332"/>
    <w:rsid w:val="00FD528B"/>
    <w:rsid w:val="00FD6E5C"/>
    <w:rsid w:val="00FE0416"/>
    <w:rsid w:val="00FE14CF"/>
    <w:rsid w:val="00FE45A5"/>
    <w:rsid w:val="00FE7C5A"/>
    <w:rsid w:val="00FF1A4C"/>
    <w:rsid w:val="00FF2732"/>
    <w:rsid w:val="00FF3EE1"/>
    <w:rsid w:val="00FF4AEE"/>
    <w:rsid w:val="00FF50A2"/>
    <w:rsid w:val="00FF548A"/>
    <w:rsid w:val="00FF5CA5"/>
    <w:rsid w:val="00FF659E"/>
    <w:rsid w:val="00FF679C"/>
    <w:rsid w:val="00FF79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C63CDA"/>
  <w15:docId w15:val="{D66CEED3-2C22-4B1D-A627-A02C2E24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q-AL"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locked="1"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11F"/>
    <w:pPr>
      <w:spacing w:before="120"/>
      <w:jc w:val="both"/>
    </w:pPr>
    <w:rPr>
      <w:rFonts w:ascii="Garamond" w:hAnsi="Garamond"/>
      <w:sz w:val="24"/>
      <w:szCs w:val="24"/>
    </w:rPr>
  </w:style>
  <w:style w:type="paragraph" w:styleId="Heading1">
    <w:name w:val="heading 1"/>
    <w:basedOn w:val="Normal"/>
    <w:next w:val="Normal"/>
    <w:link w:val="Heading1Char"/>
    <w:qFormat/>
    <w:rsid w:val="00B910CA"/>
    <w:pPr>
      <w:keepNext/>
      <w:numPr>
        <w:numId w:val="4"/>
      </w:numPr>
      <w:spacing w:before="240"/>
      <w:outlineLvl w:val="0"/>
    </w:pPr>
    <w:rPr>
      <w:b/>
      <w:bCs/>
      <w:color w:val="1F497D"/>
      <w:kern w:val="32"/>
      <w:sz w:val="28"/>
      <w:szCs w:val="28"/>
    </w:rPr>
  </w:style>
  <w:style w:type="paragraph" w:styleId="Heading2">
    <w:name w:val="heading 2"/>
    <w:basedOn w:val="Normal"/>
    <w:link w:val="Heading2Char"/>
    <w:qFormat/>
    <w:rsid w:val="00E621F9"/>
    <w:pPr>
      <w:spacing w:before="240"/>
      <w:outlineLvl w:val="1"/>
    </w:pPr>
    <w:rPr>
      <w:bCs/>
      <w:iCs/>
      <w:color w:val="1F497D" w:themeColor="text2"/>
    </w:rPr>
  </w:style>
  <w:style w:type="paragraph" w:styleId="Heading3">
    <w:name w:val="heading 3"/>
    <w:basedOn w:val="Normal"/>
    <w:next w:val="Normal"/>
    <w:qFormat/>
    <w:rsid w:val="007C5EBF"/>
    <w:pPr>
      <w:keepNext/>
      <w:numPr>
        <w:ilvl w:val="2"/>
        <w:numId w:val="3"/>
      </w:numPr>
      <w:spacing w:before="240" w:after="60"/>
      <w:outlineLvl w:val="2"/>
    </w:pPr>
    <w:rPr>
      <w:rFonts w:ascii="Calibri" w:hAnsi="Calibri" w:cs="Arial"/>
      <w:bCs/>
      <w:szCs w:val="26"/>
    </w:rPr>
  </w:style>
  <w:style w:type="paragraph" w:styleId="Heading4">
    <w:name w:val="heading 4"/>
    <w:basedOn w:val="Normal"/>
    <w:next w:val="Normal"/>
    <w:link w:val="Heading4Char"/>
    <w:qFormat/>
    <w:locked/>
    <w:rsid w:val="00181EDF"/>
    <w:pPr>
      <w:keepNext/>
      <w:tabs>
        <w:tab w:val="left" w:pos="1440"/>
      </w:tabs>
      <w:spacing w:before="0"/>
      <w:outlineLvl w:val="3"/>
    </w:pPr>
    <w:rPr>
      <w:rFonts w:ascii="Times New Roman" w:hAnsi="Times New Roman"/>
      <w:sz w:val="22"/>
      <w:szCs w:val="20"/>
      <w:u w:val="single"/>
    </w:rPr>
  </w:style>
  <w:style w:type="paragraph" w:styleId="Heading6">
    <w:name w:val="heading 6"/>
    <w:basedOn w:val="Normal"/>
    <w:next w:val="Normal"/>
    <w:link w:val="Heading6Char"/>
    <w:qFormat/>
    <w:locked/>
    <w:rsid w:val="007D5F48"/>
    <w:pPr>
      <w:keepNext/>
      <w:widowControl w:val="0"/>
      <w:ind w:left="1440" w:hanging="1440"/>
      <w:jc w:val="left"/>
      <w:outlineLvl w:val="5"/>
    </w:pPr>
    <w:rPr>
      <w:rFonts w:ascii="Times New Roman" w:hAnsi="Times New Roman"/>
      <w:b/>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08FC"/>
    <w:rPr>
      <w:rFonts w:ascii="Tahoma" w:hAnsi="Tahoma" w:cs="Tahoma"/>
      <w:sz w:val="16"/>
      <w:szCs w:val="16"/>
    </w:rPr>
  </w:style>
  <w:style w:type="paragraph" w:styleId="NormalWeb">
    <w:name w:val="Normal (Web)"/>
    <w:basedOn w:val="Normal"/>
    <w:link w:val="NormalWebChar"/>
    <w:rsid w:val="002C2230"/>
    <w:pPr>
      <w:spacing w:before="100" w:beforeAutospacing="1" w:after="100" w:afterAutospacing="1"/>
    </w:pPr>
    <w:rPr>
      <w:rFonts w:ascii="Calibri" w:hAnsi="Calibri"/>
    </w:rPr>
  </w:style>
  <w:style w:type="character" w:styleId="Hyperlink">
    <w:name w:val="Hyperlink"/>
    <w:uiPriority w:val="99"/>
    <w:rsid w:val="002C2230"/>
    <w:rPr>
      <w:color w:val="0000FF"/>
      <w:u w:val="single"/>
    </w:rPr>
  </w:style>
  <w:style w:type="character" w:customStyle="1" w:styleId="toctoggle">
    <w:name w:val="toctoggle"/>
    <w:rsid w:val="002C2230"/>
    <w:rPr>
      <w:rFonts w:cs="Times New Roman"/>
    </w:rPr>
  </w:style>
  <w:style w:type="character" w:customStyle="1" w:styleId="tocnumber">
    <w:name w:val="tocnumber"/>
    <w:rsid w:val="002C2230"/>
    <w:rPr>
      <w:rFonts w:cs="Times New Roman"/>
    </w:rPr>
  </w:style>
  <w:style w:type="character" w:customStyle="1" w:styleId="toctext">
    <w:name w:val="toctext"/>
    <w:rsid w:val="002C2230"/>
    <w:rPr>
      <w:rFonts w:cs="Times New Roman"/>
    </w:rPr>
  </w:style>
  <w:style w:type="character" w:customStyle="1" w:styleId="editsection">
    <w:name w:val="editsection"/>
    <w:rsid w:val="002C2230"/>
    <w:rPr>
      <w:rFonts w:cs="Times New Roman"/>
    </w:rPr>
  </w:style>
  <w:style w:type="character" w:customStyle="1" w:styleId="mw-headline">
    <w:name w:val="mw-headline"/>
    <w:rsid w:val="002C2230"/>
    <w:rPr>
      <w:rFonts w:cs="Times New Roman"/>
    </w:rPr>
  </w:style>
  <w:style w:type="character" w:customStyle="1" w:styleId="StyleBold">
    <w:name w:val="Style Bold"/>
    <w:rsid w:val="00172E2C"/>
    <w:rPr>
      <w:rFonts w:ascii="Calibri" w:hAnsi="Calibri"/>
      <w:sz w:val="24"/>
      <w:vertAlign w:val="baseline"/>
    </w:rPr>
  </w:style>
  <w:style w:type="paragraph" w:customStyle="1" w:styleId="StyleHeading1Calibri12ptAfter0pt">
    <w:name w:val="Style Heading 1 + Calibri 12 pt After:  0 pt"/>
    <w:basedOn w:val="Heading1"/>
    <w:rsid w:val="00172E2C"/>
    <w:pPr>
      <w:numPr>
        <w:numId w:val="1"/>
      </w:numPr>
    </w:pPr>
    <w:rPr>
      <w:szCs w:val="20"/>
    </w:rPr>
  </w:style>
  <w:style w:type="paragraph" w:styleId="CommentText">
    <w:name w:val="annotation text"/>
    <w:basedOn w:val="Normal"/>
    <w:link w:val="CommentTextChar"/>
    <w:uiPriority w:val="99"/>
    <w:qFormat/>
    <w:rsid w:val="00E7532E"/>
    <w:pPr>
      <w:overflowPunct w:val="0"/>
      <w:autoSpaceDE w:val="0"/>
      <w:autoSpaceDN w:val="0"/>
      <w:adjustRightInd w:val="0"/>
      <w:spacing w:before="0"/>
      <w:jc w:val="left"/>
      <w:textAlignment w:val="baseline"/>
    </w:pPr>
    <w:rPr>
      <w:sz w:val="22"/>
      <w:szCs w:val="20"/>
    </w:rPr>
  </w:style>
  <w:style w:type="character" w:customStyle="1" w:styleId="CommentTextChar">
    <w:name w:val="Comment Text Char"/>
    <w:link w:val="CommentText"/>
    <w:uiPriority w:val="99"/>
    <w:qFormat/>
    <w:locked/>
    <w:rsid w:val="00E7532E"/>
    <w:rPr>
      <w:sz w:val="22"/>
      <w:lang w:val="sq-AL" w:eastAsia="en-US"/>
    </w:rPr>
  </w:style>
  <w:style w:type="paragraph" w:styleId="FootnoteText">
    <w:name w:val="footnote text"/>
    <w:basedOn w:val="Normal"/>
    <w:link w:val="FootnoteTextChar"/>
    <w:uiPriority w:val="99"/>
    <w:semiHidden/>
    <w:qFormat/>
    <w:rsid w:val="00840783"/>
    <w:pPr>
      <w:spacing w:before="0"/>
    </w:pPr>
    <w:rPr>
      <w:sz w:val="18"/>
      <w:szCs w:val="20"/>
    </w:rPr>
  </w:style>
  <w:style w:type="character" w:styleId="FootnoteReference">
    <w:name w:val="footnote reference"/>
    <w:uiPriority w:val="99"/>
    <w:semiHidden/>
    <w:qFormat/>
    <w:rsid w:val="00E7532E"/>
    <w:rPr>
      <w:vertAlign w:val="superscript"/>
    </w:rPr>
  </w:style>
  <w:style w:type="character" w:styleId="Strong">
    <w:name w:val="Strong"/>
    <w:uiPriority w:val="22"/>
    <w:qFormat/>
    <w:rsid w:val="00C912C4"/>
    <w:rPr>
      <w:b/>
    </w:rPr>
  </w:style>
  <w:style w:type="paragraph" w:customStyle="1" w:styleId="Default">
    <w:name w:val="Default"/>
    <w:rsid w:val="00180390"/>
    <w:pPr>
      <w:autoSpaceDE w:val="0"/>
      <w:autoSpaceDN w:val="0"/>
      <w:adjustRightInd w:val="0"/>
    </w:pPr>
    <w:rPr>
      <w:rFonts w:ascii="Arial" w:hAnsi="Arial" w:cs="Arial"/>
      <w:color w:val="000000"/>
      <w:sz w:val="24"/>
      <w:szCs w:val="24"/>
    </w:rPr>
  </w:style>
  <w:style w:type="paragraph" w:styleId="Header">
    <w:name w:val="header"/>
    <w:basedOn w:val="Normal"/>
    <w:rsid w:val="00DB7438"/>
    <w:pPr>
      <w:tabs>
        <w:tab w:val="center" w:pos="4320"/>
        <w:tab w:val="right" w:pos="8640"/>
      </w:tabs>
      <w:autoSpaceDE w:val="0"/>
      <w:autoSpaceDN w:val="0"/>
    </w:pPr>
  </w:style>
  <w:style w:type="paragraph" w:styleId="Caption">
    <w:name w:val="caption"/>
    <w:basedOn w:val="Normal"/>
    <w:next w:val="Normal"/>
    <w:uiPriority w:val="35"/>
    <w:qFormat/>
    <w:rsid w:val="00B65766"/>
    <w:pPr>
      <w:jc w:val="center"/>
    </w:pPr>
    <w:rPr>
      <w:rFonts w:asciiTheme="majorHAnsi" w:hAnsiTheme="majorHAnsi"/>
      <w:b/>
      <w:bCs/>
      <w:sz w:val="20"/>
      <w:szCs w:val="20"/>
    </w:rPr>
  </w:style>
  <w:style w:type="paragraph" w:customStyle="1" w:styleId="StyleStyleHeading1Calibri12ptAfter0ptBefore0pt">
    <w:name w:val="Style Style Heading 1 + Calibri 12 pt After:  0 pt + Before:  0 pt"/>
    <w:basedOn w:val="StyleHeading1Calibri12ptAfter0pt"/>
    <w:rsid w:val="00DB7438"/>
    <w:pPr>
      <w:numPr>
        <w:numId w:val="2"/>
      </w:numPr>
      <w:spacing w:before="0"/>
      <w:ind w:firstLine="0"/>
    </w:pPr>
  </w:style>
  <w:style w:type="character" w:customStyle="1" w:styleId="A6">
    <w:name w:val="A6"/>
    <w:rsid w:val="00DB7438"/>
    <w:rPr>
      <w:color w:val="000000"/>
      <w:sz w:val="18"/>
    </w:rPr>
  </w:style>
  <w:style w:type="paragraph" w:customStyle="1" w:styleId="Pa1">
    <w:name w:val="Pa1"/>
    <w:basedOn w:val="Default"/>
    <w:next w:val="Default"/>
    <w:rsid w:val="00DB7438"/>
    <w:pPr>
      <w:spacing w:line="241" w:lineRule="atLeast"/>
    </w:pPr>
    <w:rPr>
      <w:rFonts w:ascii="Meta Plus Bold" w:hAnsi="Meta Plus Bold" w:cs="Times New Roman"/>
      <w:color w:val="auto"/>
    </w:rPr>
  </w:style>
  <w:style w:type="character" w:customStyle="1" w:styleId="A2">
    <w:name w:val="A2"/>
    <w:rsid w:val="00DB7438"/>
    <w:rPr>
      <w:b/>
      <w:color w:val="000000"/>
      <w:sz w:val="56"/>
    </w:rPr>
  </w:style>
  <w:style w:type="paragraph" w:styleId="TOC1">
    <w:name w:val="toc 1"/>
    <w:basedOn w:val="Normal"/>
    <w:next w:val="Normal"/>
    <w:autoRedefine/>
    <w:uiPriority w:val="39"/>
    <w:rsid w:val="002C56A6"/>
    <w:pPr>
      <w:tabs>
        <w:tab w:val="left" w:pos="540"/>
        <w:tab w:val="left" w:pos="630"/>
        <w:tab w:val="left" w:pos="720"/>
        <w:tab w:val="right" w:leader="dot" w:pos="9360"/>
      </w:tabs>
      <w:spacing w:before="0"/>
      <w:ind w:left="720" w:hanging="720"/>
    </w:pPr>
  </w:style>
  <w:style w:type="paragraph" w:styleId="TOC2">
    <w:name w:val="toc 2"/>
    <w:basedOn w:val="Normal"/>
    <w:next w:val="Normal"/>
    <w:autoRedefine/>
    <w:uiPriority w:val="39"/>
    <w:rsid w:val="00DB7438"/>
    <w:pPr>
      <w:ind w:left="240"/>
    </w:pPr>
  </w:style>
  <w:style w:type="paragraph" w:customStyle="1" w:styleId="StyleHeading1Left0Firstline0">
    <w:name w:val="Style Heading 1 + Left:  0&quot; First line:  0&quot;"/>
    <w:basedOn w:val="Heading1"/>
    <w:rsid w:val="00E703F3"/>
    <w:rPr>
      <w:szCs w:val="20"/>
    </w:rPr>
  </w:style>
  <w:style w:type="paragraph" w:customStyle="1" w:styleId="StyleHeading2Left0Hanging03BeforeAutoAfter">
    <w:name w:val="Style Heading 2 + Left:  0&quot; Hanging:  0.3&quot; Before:  Auto After: ..."/>
    <w:basedOn w:val="Heading2"/>
    <w:rsid w:val="00E703F3"/>
    <w:pPr>
      <w:numPr>
        <w:ilvl w:val="1"/>
        <w:numId w:val="3"/>
      </w:numPr>
    </w:pPr>
    <w:rPr>
      <w:szCs w:val="20"/>
    </w:rPr>
  </w:style>
  <w:style w:type="paragraph" w:styleId="Footer">
    <w:name w:val="footer"/>
    <w:basedOn w:val="Normal"/>
    <w:link w:val="FooterChar"/>
    <w:uiPriority w:val="99"/>
    <w:rsid w:val="00E703F3"/>
    <w:pPr>
      <w:tabs>
        <w:tab w:val="center" w:pos="4320"/>
        <w:tab w:val="right" w:pos="8640"/>
      </w:tabs>
    </w:pPr>
  </w:style>
  <w:style w:type="paragraph" w:customStyle="1" w:styleId="StyleHeading1Before12pt">
    <w:name w:val="Style Heading 1 + Before:  12 pt"/>
    <w:basedOn w:val="Normal"/>
    <w:rsid w:val="00E703F3"/>
    <w:pPr>
      <w:numPr>
        <w:numId w:val="3"/>
      </w:numPr>
    </w:pPr>
  </w:style>
  <w:style w:type="character" w:styleId="PageNumber">
    <w:name w:val="page number"/>
    <w:rsid w:val="00E703F3"/>
    <w:rPr>
      <w:rFonts w:cs="Times New Roman"/>
    </w:rPr>
  </w:style>
  <w:style w:type="character" w:styleId="Emphasis">
    <w:name w:val="Emphasis"/>
    <w:qFormat/>
    <w:rsid w:val="00FF548A"/>
    <w:rPr>
      <w:i/>
    </w:rPr>
  </w:style>
  <w:style w:type="character" w:styleId="CommentReference">
    <w:name w:val="annotation reference"/>
    <w:uiPriority w:val="99"/>
    <w:semiHidden/>
    <w:rsid w:val="00600649"/>
    <w:rPr>
      <w:sz w:val="16"/>
    </w:rPr>
  </w:style>
  <w:style w:type="paragraph" w:styleId="TableofFigures">
    <w:name w:val="table of figures"/>
    <w:basedOn w:val="Normal"/>
    <w:next w:val="Normal"/>
    <w:uiPriority w:val="99"/>
    <w:rsid w:val="00A27208"/>
  </w:style>
  <w:style w:type="character" w:customStyle="1" w:styleId="PlainTextChar">
    <w:name w:val="Plain Text Char"/>
    <w:link w:val="PlainText"/>
    <w:locked/>
    <w:rsid w:val="00347AF6"/>
    <w:rPr>
      <w:rFonts w:ascii="Consolas" w:hAnsi="Consolas"/>
      <w:sz w:val="21"/>
    </w:rPr>
  </w:style>
  <w:style w:type="paragraph" w:styleId="PlainText">
    <w:name w:val="Plain Text"/>
    <w:basedOn w:val="Normal"/>
    <w:link w:val="PlainTextChar"/>
    <w:rsid w:val="00347AF6"/>
    <w:pPr>
      <w:spacing w:before="0"/>
      <w:jc w:val="left"/>
    </w:pPr>
    <w:rPr>
      <w:rFonts w:ascii="Consolas" w:hAnsi="Consolas"/>
      <w:sz w:val="21"/>
      <w:szCs w:val="21"/>
    </w:rPr>
  </w:style>
  <w:style w:type="character" w:customStyle="1" w:styleId="NormalWebChar">
    <w:name w:val="Normal (Web) Char"/>
    <w:link w:val="NormalWeb"/>
    <w:locked/>
    <w:rsid w:val="00040323"/>
    <w:rPr>
      <w:rFonts w:ascii="Calibri" w:hAnsi="Calibri"/>
      <w:sz w:val="24"/>
      <w:lang w:val="sq-AL" w:eastAsia="en-US"/>
    </w:rPr>
  </w:style>
  <w:style w:type="paragraph" w:styleId="CommentSubject">
    <w:name w:val="annotation subject"/>
    <w:basedOn w:val="CommentText"/>
    <w:next w:val="CommentText"/>
    <w:link w:val="CommentSubjectChar"/>
    <w:uiPriority w:val="99"/>
    <w:semiHidden/>
    <w:rsid w:val="004D7E7E"/>
    <w:pPr>
      <w:overflowPunct/>
      <w:autoSpaceDE/>
      <w:autoSpaceDN/>
      <w:adjustRightInd/>
      <w:spacing w:before="120"/>
      <w:jc w:val="both"/>
      <w:textAlignment w:val="auto"/>
    </w:pPr>
    <w:rPr>
      <w:rFonts w:ascii="Calibri" w:hAnsi="Calibri"/>
      <w:b/>
      <w:bCs/>
      <w:sz w:val="20"/>
    </w:rPr>
  </w:style>
  <w:style w:type="character" w:customStyle="1" w:styleId="Heading1Char">
    <w:name w:val="Heading 1 Char"/>
    <w:link w:val="Heading1"/>
    <w:locked/>
    <w:rsid w:val="004F4201"/>
    <w:rPr>
      <w:rFonts w:ascii="Garamond" w:hAnsi="Garamond"/>
      <w:b/>
      <w:bCs/>
      <w:color w:val="1F497D"/>
      <w:kern w:val="32"/>
      <w:sz w:val="28"/>
      <w:szCs w:val="28"/>
    </w:rPr>
  </w:style>
  <w:style w:type="character" w:customStyle="1" w:styleId="Heading2Char">
    <w:name w:val="Heading 2 Char"/>
    <w:link w:val="Heading2"/>
    <w:locked/>
    <w:rsid w:val="00E621F9"/>
    <w:rPr>
      <w:rFonts w:ascii="Garamond" w:hAnsi="Garamond"/>
      <w:bCs/>
      <w:iCs/>
      <w:color w:val="1F497D" w:themeColor="text2"/>
      <w:sz w:val="24"/>
      <w:szCs w:val="24"/>
    </w:rPr>
  </w:style>
  <w:style w:type="table" w:styleId="TableGrid">
    <w:name w:val="Table Grid"/>
    <w:basedOn w:val="TableNormal"/>
    <w:uiPriority w:val="59"/>
    <w:rsid w:val="00363FD9"/>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Left0Firstline01">
    <w:name w:val="Style Heading 1 + Left:  0&quot; First line:  0&quot;1"/>
    <w:basedOn w:val="Heading1"/>
    <w:rsid w:val="00A962EE"/>
    <w:pPr>
      <w:numPr>
        <w:numId w:val="5"/>
      </w:numPr>
    </w:pPr>
    <w:rPr>
      <w:rFonts w:ascii="Times New Roman Bold" w:hAnsi="Times New Roman Bold"/>
      <w:color w:val="000080"/>
      <w:szCs w:val="20"/>
    </w:rPr>
  </w:style>
  <w:style w:type="paragraph" w:customStyle="1" w:styleId="StyleStyleHeading1Left0Firstline01Left05F">
    <w:name w:val="Style Style Heading 1 + Left:  0&quot; First line:  0&quot;1 + Left:  0.5&quot; F..."/>
    <w:basedOn w:val="StyleHeading1Left0Firstline01"/>
    <w:rsid w:val="00A962EE"/>
    <w:pPr>
      <w:ind w:left="0" w:firstLine="0"/>
    </w:pPr>
  </w:style>
  <w:style w:type="character" w:customStyle="1" w:styleId="StyleTimesNewRoman">
    <w:name w:val="Style Times New Roman"/>
    <w:rsid w:val="00A962EE"/>
    <w:rPr>
      <w:rFonts w:ascii="Times New Roman" w:hAnsi="Times New Roman" w:cs="Times New Roman"/>
      <w:sz w:val="24"/>
    </w:rPr>
  </w:style>
  <w:style w:type="paragraph" w:styleId="BodyText">
    <w:name w:val="Body Text"/>
    <w:basedOn w:val="Normal"/>
    <w:link w:val="BodyTextChar"/>
    <w:qFormat/>
    <w:rsid w:val="007C5EBF"/>
    <w:pPr>
      <w:spacing w:before="0" w:after="120"/>
      <w:jc w:val="left"/>
    </w:pPr>
    <w:rPr>
      <w:rFonts w:ascii="Calibri" w:hAnsi="Calibri"/>
    </w:rPr>
  </w:style>
  <w:style w:type="character" w:customStyle="1" w:styleId="BodyTextChar">
    <w:name w:val="Body Text Char"/>
    <w:link w:val="BodyText"/>
    <w:locked/>
    <w:rsid w:val="007C5EBF"/>
    <w:rPr>
      <w:rFonts w:ascii="Calibri" w:hAnsi="Calibri"/>
      <w:sz w:val="24"/>
      <w:szCs w:val="24"/>
      <w:lang w:val="sq-AL"/>
    </w:rPr>
  </w:style>
  <w:style w:type="character" w:customStyle="1" w:styleId="apple-style-span">
    <w:name w:val="apple-style-span"/>
    <w:rsid w:val="007212B4"/>
    <w:rPr>
      <w:rFonts w:cs="Times New Roman"/>
    </w:rPr>
  </w:style>
  <w:style w:type="paragraph" w:styleId="Revision">
    <w:name w:val="Revision"/>
    <w:hidden/>
    <w:semiHidden/>
    <w:rsid w:val="007212B4"/>
    <w:rPr>
      <w:sz w:val="24"/>
      <w:szCs w:val="24"/>
    </w:rPr>
  </w:style>
  <w:style w:type="character" w:customStyle="1" w:styleId="apple-converted-space">
    <w:name w:val="apple-converted-space"/>
    <w:rsid w:val="00E46E40"/>
    <w:rPr>
      <w:rFonts w:cs="Times New Roman"/>
    </w:rPr>
  </w:style>
  <w:style w:type="paragraph" w:styleId="NoSpacing">
    <w:name w:val="No Spacing"/>
    <w:link w:val="NoSpacingChar"/>
    <w:qFormat/>
    <w:rsid w:val="00E34AF5"/>
    <w:rPr>
      <w:sz w:val="24"/>
      <w:lang w:eastAsia="ja-JP"/>
    </w:rPr>
  </w:style>
  <w:style w:type="paragraph" w:styleId="Title">
    <w:name w:val="Title"/>
    <w:basedOn w:val="Normal"/>
    <w:link w:val="TitleChar"/>
    <w:qFormat/>
    <w:locked/>
    <w:rsid w:val="00E34AF5"/>
    <w:pPr>
      <w:spacing w:before="0"/>
      <w:jc w:val="center"/>
    </w:pPr>
    <w:rPr>
      <w:b/>
      <w:bCs/>
      <w:sz w:val="44"/>
    </w:rPr>
  </w:style>
  <w:style w:type="character" w:customStyle="1" w:styleId="TitleChar">
    <w:name w:val="Title Char"/>
    <w:link w:val="Title"/>
    <w:rsid w:val="00E34AF5"/>
    <w:rPr>
      <w:b/>
      <w:bCs/>
      <w:sz w:val="44"/>
      <w:szCs w:val="24"/>
      <w:lang w:val="sq-AL" w:eastAsia="en-US" w:bidi="ar-SA"/>
    </w:rPr>
  </w:style>
  <w:style w:type="character" w:customStyle="1" w:styleId="A1">
    <w:name w:val="A1"/>
    <w:rsid w:val="00941F80"/>
    <w:rPr>
      <w:rFonts w:cs="Goudy Old Style BT"/>
      <w:color w:val="000000"/>
      <w:sz w:val="47"/>
      <w:szCs w:val="47"/>
    </w:rPr>
  </w:style>
  <w:style w:type="paragraph" w:customStyle="1" w:styleId="StyleStyleStyleHeading1Left0Firstline01Left0">
    <w:name w:val="Style Style Style Heading 1 + Left:  0&quot; First line:  0&quot;1 + Left:  0..."/>
    <w:basedOn w:val="StyleStyleHeading1Left0Firstline01Left05F"/>
    <w:rsid w:val="0068732F"/>
    <w:pPr>
      <w:spacing w:before="0"/>
    </w:pPr>
    <w:rPr>
      <w:rFonts w:ascii="Garamond" w:hAnsi="Garamond"/>
    </w:rPr>
  </w:style>
  <w:style w:type="character" w:customStyle="1" w:styleId="st1">
    <w:name w:val="st1"/>
    <w:basedOn w:val="DefaultParagraphFont"/>
    <w:rsid w:val="00EB2DF4"/>
  </w:style>
  <w:style w:type="paragraph" w:styleId="Subtitle">
    <w:name w:val="Subtitle"/>
    <w:basedOn w:val="Normal"/>
    <w:next w:val="BodyText"/>
    <w:link w:val="SubtitleChar"/>
    <w:qFormat/>
    <w:locked/>
    <w:rsid w:val="00833F44"/>
    <w:pPr>
      <w:suppressAutoHyphens/>
      <w:spacing w:after="240"/>
      <w:jc w:val="center"/>
    </w:pPr>
    <w:rPr>
      <w:rFonts w:ascii="Arial" w:eastAsia="SimSun" w:hAnsi="Arial"/>
      <w:b/>
      <w:bCs/>
      <w:lang w:eastAsia="ar-SA"/>
    </w:rPr>
  </w:style>
  <w:style w:type="character" w:customStyle="1" w:styleId="SubtitleChar">
    <w:name w:val="Subtitle Char"/>
    <w:link w:val="Subtitle"/>
    <w:rsid w:val="00833F44"/>
    <w:rPr>
      <w:rFonts w:ascii="Arial" w:eastAsia="SimSun" w:hAnsi="Arial"/>
      <w:b/>
      <w:bCs/>
      <w:sz w:val="24"/>
      <w:szCs w:val="24"/>
      <w:lang w:val="sq-AL" w:eastAsia="ar-SA"/>
    </w:rPr>
  </w:style>
  <w:style w:type="paragraph" w:customStyle="1" w:styleId="HeaderFirst-Centred">
    <w:name w:val="Header First - Centred"/>
    <w:basedOn w:val="Normal"/>
    <w:rsid w:val="00833F44"/>
    <w:pPr>
      <w:keepLines/>
      <w:tabs>
        <w:tab w:val="left" w:pos="-1080"/>
        <w:tab w:val="center" w:pos="4320"/>
        <w:tab w:val="right" w:pos="9480"/>
      </w:tabs>
      <w:suppressAutoHyphens/>
      <w:spacing w:before="0" w:line="240" w:lineRule="exact"/>
      <w:ind w:left="-1077" w:right="-1077"/>
      <w:jc w:val="center"/>
    </w:pPr>
    <w:rPr>
      <w:rFonts w:ascii="Arial Black" w:eastAsia="SimSun" w:hAnsi="Arial Black"/>
      <w:color w:val="999999"/>
      <w:spacing w:val="20"/>
      <w:sz w:val="20"/>
      <w:lang w:eastAsia="ar-SA"/>
    </w:rPr>
  </w:style>
  <w:style w:type="character" w:customStyle="1" w:styleId="Heading6Char">
    <w:name w:val="Heading 6 Char"/>
    <w:link w:val="Heading6"/>
    <w:rsid w:val="007D5F48"/>
    <w:rPr>
      <w:b/>
      <w:bCs/>
      <w:sz w:val="24"/>
    </w:rPr>
  </w:style>
  <w:style w:type="paragraph" w:styleId="BodyText3">
    <w:name w:val="Body Text 3"/>
    <w:basedOn w:val="Normal"/>
    <w:link w:val="BodyText3Char"/>
    <w:rsid w:val="007D5F48"/>
    <w:pPr>
      <w:widowControl w:val="0"/>
      <w:jc w:val="left"/>
    </w:pPr>
    <w:rPr>
      <w:rFonts w:ascii="Times New Roman" w:hAnsi="Times New Roman"/>
      <w:sz w:val="22"/>
      <w:szCs w:val="20"/>
    </w:rPr>
  </w:style>
  <w:style w:type="character" w:customStyle="1" w:styleId="BodyText3Char">
    <w:name w:val="Body Text 3 Char"/>
    <w:link w:val="BodyText3"/>
    <w:rsid w:val="007D5F48"/>
    <w:rPr>
      <w:sz w:val="22"/>
      <w:lang w:val="sq-AL"/>
    </w:rPr>
  </w:style>
  <w:style w:type="paragraph" w:styleId="BodyTextIndent3">
    <w:name w:val="Body Text Indent 3"/>
    <w:basedOn w:val="Normal"/>
    <w:link w:val="BodyTextIndent3Char"/>
    <w:rsid w:val="007D5F48"/>
    <w:pPr>
      <w:widowControl w:val="0"/>
      <w:spacing w:before="0"/>
      <w:ind w:left="1440" w:hanging="1440"/>
    </w:pPr>
    <w:rPr>
      <w:rFonts w:ascii="Times New Roman" w:hAnsi="Times New Roman"/>
      <w:bCs/>
      <w:snapToGrid w:val="0"/>
      <w:sz w:val="22"/>
      <w:szCs w:val="20"/>
    </w:rPr>
  </w:style>
  <w:style w:type="character" w:customStyle="1" w:styleId="BodyTextIndent3Char">
    <w:name w:val="Body Text Indent 3 Char"/>
    <w:link w:val="BodyTextIndent3"/>
    <w:rsid w:val="007D5F48"/>
    <w:rPr>
      <w:bCs/>
      <w:snapToGrid w:val="0"/>
      <w:sz w:val="22"/>
    </w:rPr>
  </w:style>
  <w:style w:type="paragraph" w:styleId="BodyTextIndent2">
    <w:name w:val="Body Text Indent 2"/>
    <w:basedOn w:val="Normal"/>
    <w:link w:val="BodyTextIndent2Char"/>
    <w:rsid w:val="007D5F48"/>
    <w:pPr>
      <w:keepNext/>
      <w:keepLines/>
      <w:widowControl w:val="0"/>
      <w:tabs>
        <w:tab w:val="left" w:pos="720"/>
        <w:tab w:val="left" w:pos="1440"/>
        <w:tab w:val="left" w:pos="2160"/>
        <w:tab w:val="left" w:pos="2424"/>
        <w:tab w:val="left" w:pos="2880"/>
      </w:tabs>
      <w:suppressAutoHyphens/>
      <w:ind w:left="720" w:hanging="720"/>
      <w:jc w:val="left"/>
    </w:pPr>
    <w:rPr>
      <w:rFonts w:ascii="Times New Roman" w:hAnsi="Times New Roman"/>
      <w:bCs/>
      <w:sz w:val="22"/>
      <w:szCs w:val="20"/>
    </w:rPr>
  </w:style>
  <w:style w:type="character" w:customStyle="1" w:styleId="BodyTextIndent2Char">
    <w:name w:val="Body Text Indent 2 Char"/>
    <w:link w:val="BodyTextIndent2"/>
    <w:rsid w:val="007D5F48"/>
    <w:rPr>
      <w:bCs/>
      <w:sz w:val="22"/>
    </w:rPr>
  </w:style>
  <w:style w:type="paragraph" w:customStyle="1" w:styleId="DFIDLevel1">
    <w:name w:val="DFID Level 1"/>
    <w:basedOn w:val="Normal"/>
    <w:rsid w:val="007D5F48"/>
    <w:pPr>
      <w:spacing w:before="240" w:after="120"/>
      <w:jc w:val="left"/>
    </w:pPr>
    <w:rPr>
      <w:rFonts w:ascii="Arial" w:hAnsi="Arial"/>
      <w:b/>
      <w:color w:val="007680"/>
      <w:sz w:val="32"/>
    </w:rPr>
  </w:style>
  <w:style w:type="paragraph" w:customStyle="1" w:styleId="Authornames">
    <w:name w:val="Author names"/>
    <w:basedOn w:val="Normal"/>
    <w:next w:val="Normal"/>
    <w:rsid w:val="007D5F48"/>
    <w:pPr>
      <w:spacing w:before="0"/>
      <w:jc w:val="left"/>
    </w:pPr>
    <w:rPr>
      <w:rFonts w:ascii="Times New Roman" w:hAnsi="Times New Roman"/>
      <w:sz w:val="28"/>
      <w:lang w:eastAsia="en-GB"/>
    </w:rPr>
  </w:style>
  <w:style w:type="character" w:customStyle="1" w:styleId="NoSpacingChar">
    <w:name w:val="No Spacing Char"/>
    <w:link w:val="NoSpacing"/>
    <w:rsid w:val="007D5F48"/>
    <w:rPr>
      <w:sz w:val="24"/>
      <w:lang w:eastAsia="ja-JP"/>
    </w:rPr>
  </w:style>
  <w:style w:type="character" w:styleId="HTMLCite">
    <w:name w:val="HTML Cite"/>
    <w:rsid w:val="007D5F48"/>
    <w:rPr>
      <w:i/>
      <w:iCs/>
    </w:rPr>
  </w:style>
  <w:style w:type="character" w:customStyle="1" w:styleId="boldlabel1">
    <w:name w:val="boldlabel1"/>
    <w:rsid w:val="007D5F48"/>
    <w:rPr>
      <w:b/>
      <w:bCs/>
    </w:rPr>
  </w:style>
  <w:style w:type="paragraph" w:styleId="BodyText2">
    <w:name w:val="Body Text 2"/>
    <w:basedOn w:val="Normal"/>
    <w:link w:val="BodyText2Char"/>
    <w:rsid w:val="007010A7"/>
    <w:pPr>
      <w:spacing w:after="120" w:line="480" w:lineRule="auto"/>
    </w:pPr>
  </w:style>
  <w:style w:type="character" w:customStyle="1" w:styleId="BodyText2Char">
    <w:name w:val="Body Text 2 Char"/>
    <w:basedOn w:val="DefaultParagraphFont"/>
    <w:link w:val="BodyText2"/>
    <w:rsid w:val="007010A7"/>
    <w:rPr>
      <w:rFonts w:ascii="Garamond" w:hAnsi="Garamond"/>
      <w:sz w:val="24"/>
      <w:szCs w:val="24"/>
    </w:rPr>
  </w:style>
  <w:style w:type="paragraph" w:styleId="ListParagraph">
    <w:name w:val="List Paragraph"/>
    <w:aliases w:val="References,Bullets,Paragraphe  revu,List Paragraph (numbered (a)),Numbered List Paragraph,Liste 1,List Paragraph1,List Bullet Mary,Dot pt,Bullet Points,No Spacing1,List Paragraph Char Char Char,Indicator Text,Numbered Para 1,Bullet 1"/>
    <w:basedOn w:val="Normal"/>
    <w:link w:val="ListParagraphChar"/>
    <w:uiPriority w:val="34"/>
    <w:qFormat/>
    <w:rsid w:val="00507322"/>
    <w:pPr>
      <w:ind w:left="720"/>
      <w:contextualSpacing/>
    </w:pPr>
  </w:style>
  <w:style w:type="character" w:customStyle="1" w:styleId="Heading4Char">
    <w:name w:val="Heading 4 Char"/>
    <w:basedOn w:val="DefaultParagraphFont"/>
    <w:link w:val="Heading4"/>
    <w:rsid w:val="00181EDF"/>
    <w:rPr>
      <w:sz w:val="22"/>
      <w:u w:val="single"/>
    </w:rPr>
  </w:style>
  <w:style w:type="paragraph" w:styleId="BodyTextIndent">
    <w:name w:val="Body Text Indent"/>
    <w:basedOn w:val="Normal"/>
    <w:link w:val="BodyTextIndentChar"/>
    <w:rsid w:val="00181EDF"/>
    <w:pPr>
      <w:tabs>
        <w:tab w:val="left" w:pos="1440"/>
      </w:tabs>
      <w:spacing w:before="0"/>
      <w:ind w:left="180"/>
    </w:pPr>
    <w:rPr>
      <w:rFonts w:ascii="Times New Roman" w:hAnsi="Times New Roman"/>
      <w:sz w:val="20"/>
      <w:szCs w:val="20"/>
    </w:rPr>
  </w:style>
  <w:style w:type="character" w:customStyle="1" w:styleId="BodyTextIndentChar">
    <w:name w:val="Body Text Indent Char"/>
    <w:basedOn w:val="DefaultParagraphFont"/>
    <w:link w:val="BodyTextIndent"/>
    <w:rsid w:val="00181EDF"/>
  </w:style>
  <w:style w:type="paragraph" w:customStyle="1" w:styleId="item">
    <w:name w:val="item"/>
    <w:basedOn w:val="Normal"/>
    <w:next w:val="Normal"/>
    <w:rsid w:val="00181EDF"/>
    <w:pPr>
      <w:spacing w:before="0" w:after="60"/>
      <w:jc w:val="left"/>
    </w:pPr>
    <w:rPr>
      <w:rFonts w:ascii="Times New Roman" w:hAnsi="Times New Roman"/>
      <w:szCs w:val="20"/>
    </w:rPr>
  </w:style>
  <w:style w:type="character" w:styleId="FollowedHyperlink">
    <w:name w:val="FollowedHyperlink"/>
    <w:basedOn w:val="DefaultParagraphFont"/>
    <w:uiPriority w:val="99"/>
    <w:rsid w:val="00181EDF"/>
    <w:rPr>
      <w:color w:val="800080"/>
      <w:u w:val="single"/>
    </w:rPr>
  </w:style>
  <w:style w:type="paragraph" w:customStyle="1" w:styleId="StyleArialJustified">
    <w:name w:val="Style Arial Justified"/>
    <w:basedOn w:val="Normal"/>
    <w:rsid w:val="00181EDF"/>
    <w:pPr>
      <w:spacing w:before="0" w:line="480" w:lineRule="auto"/>
    </w:pPr>
    <w:rPr>
      <w:rFonts w:ascii="Arial" w:hAnsi="Arial"/>
      <w:szCs w:val="20"/>
    </w:rPr>
  </w:style>
  <w:style w:type="paragraph" w:customStyle="1" w:styleId="TableCenter">
    <w:name w:val="TableCenter"/>
    <w:basedOn w:val="Normal"/>
    <w:rsid w:val="00181EDF"/>
    <w:pPr>
      <w:keepNext/>
      <w:keepLines/>
      <w:spacing w:before="20" w:after="20"/>
      <w:jc w:val="center"/>
    </w:pPr>
    <w:rPr>
      <w:rFonts w:ascii="Times New Roman" w:hAnsi="Times New Roman"/>
      <w:szCs w:val="20"/>
    </w:rPr>
  </w:style>
  <w:style w:type="paragraph" w:styleId="HTMLPreformatted">
    <w:name w:val="HTML Preformatted"/>
    <w:basedOn w:val="Normal"/>
    <w:link w:val="HTMLPreformattedChar"/>
    <w:uiPriority w:val="99"/>
    <w:unhideWhenUsed/>
    <w:rsid w:val="00181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81EDF"/>
    <w:rPr>
      <w:rFonts w:ascii="Courier New" w:hAnsi="Courier New" w:cs="Courier New"/>
    </w:rPr>
  </w:style>
  <w:style w:type="character" w:customStyle="1" w:styleId="CommentSubjectChar">
    <w:name w:val="Comment Subject Char"/>
    <w:basedOn w:val="CommentTextChar"/>
    <w:link w:val="CommentSubject"/>
    <w:uiPriority w:val="99"/>
    <w:semiHidden/>
    <w:rsid w:val="00181EDF"/>
    <w:rPr>
      <w:rFonts w:ascii="Calibri" w:hAnsi="Calibri"/>
      <w:b/>
      <w:bCs/>
      <w:sz w:val="22"/>
      <w:lang w:val="sq-AL" w:eastAsia="en-US"/>
    </w:rPr>
  </w:style>
  <w:style w:type="paragraph" w:customStyle="1" w:styleId="CVSubhead-">
    <w:name w:val="CV Subhead-"/>
    <w:basedOn w:val="Normal"/>
    <w:qFormat/>
    <w:rsid w:val="00181EDF"/>
    <w:pPr>
      <w:keepNext/>
      <w:tabs>
        <w:tab w:val="left" w:pos="1440"/>
        <w:tab w:val="left" w:pos="2160"/>
      </w:tabs>
      <w:spacing w:before="160" w:after="160"/>
    </w:pPr>
    <w:rPr>
      <w:rFonts w:ascii="Times New Roman" w:hAnsi="Times New Roman"/>
      <w:i/>
    </w:rPr>
  </w:style>
  <w:style w:type="character" w:customStyle="1" w:styleId="an">
    <w:name w:val="an"/>
    <w:basedOn w:val="DefaultParagraphFont"/>
    <w:rsid w:val="00181EDF"/>
  </w:style>
  <w:style w:type="character" w:customStyle="1" w:styleId="FooterChar">
    <w:name w:val="Footer Char"/>
    <w:basedOn w:val="DefaultParagraphFont"/>
    <w:link w:val="Footer"/>
    <w:uiPriority w:val="99"/>
    <w:rsid w:val="00E27B83"/>
    <w:rPr>
      <w:rFonts w:ascii="Garamond" w:hAnsi="Garamond"/>
      <w:sz w:val="24"/>
      <w:szCs w:val="24"/>
    </w:rPr>
  </w:style>
  <w:style w:type="paragraph" w:customStyle="1" w:styleId="msonormal0">
    <w:name w:val="msonormal"/>
    <w:basedOn w:val="Normal"/>
    <w:rsid w:val="00C65B87"/>
    <w:pPr>
      <w:spacing w:before="100" w:beforeAutospacing="1" w:after="100" w:afterAutospacing="1"/>
      <w:jc w:val="left"/>
    </w:pPr>
    <w:rPr>
      <w:rFonts w:ascii="Times New Roman" w:hAnsi="Times New Roman"/>
    </w:rPr>
  </w:style>
  <w:style w:type="paragraph" w:customStyle="1" w:styleId="xl65">
    <w:name w:val="xl65"/>
    <w:basedOn w:val="Normal"/>
    <w:rsid w:val="00C65B87"/>
    <w:pPr>
      <w:spacing w:before="100" w:beforeAutospacing="1" w:after="100" w:afterAutospacing="1"/>
      <w:jc w:val="left"/>
    </w:pPr>
    <w:rPr>
      <w:rFonts w:ascii="Times New Roman" w:hAnsi="Times New Roman"/>
    </w:rPr>
  </w:style>
  <w:style w:type="paragraph" w:customStyle="1" w:styleId="xl66">
    <w:name w:val="xl66"/>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rPr>
  </w:style>
  <w:style w:type="paragraph" w:customStyle="1" w:styleId="xl67">
    <w:name w:val="xl67"/>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rPr>
  </w:style>
  <w:style w:type="paragraph" w:customStyle="1" w:styleId="xl68">
    <w:name w:val="xl68"/>
    <w:basedOn w:val="Normal"/>
    <w:rsid w:val="00C65B87"/>
    <w:pPr>
      <w:spacing w:before="100" w:beforeAutospacing="1" w:after="100" w:afterAutospacing="1"/>
      <w:jc w:val="left"/>
      <w:textAlignment w:val="center"/>
    </w:pPr>
    <w:rPr>
      <w:rFonts w:ascii="Times New Roman" w:hAnsi="Times New Roman"/>
    </w:rPr>
  </w:style>
  <w:style w:type="paragraph" w:customStyle="1" w:styleId="xl69">
    <w:name w:val="xl69"/>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0">
    <w:name w:val="xl70"/>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sz w:val="20"/>
      <w:szCs w:val="20"/>
    </w:rPr>
  </w:style>
  <w:style w:type="paragraph" w:customStyle="1" w:styleId="xl71">
    <w:name w:val="xl71"/>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0"/>
      <w:szCs w:val="20"/>
    </w:rPr>
  </w:style>
  <w:style w:type="paragraph" w:customStyle="1" w:styleId="xl72">
    <w:name w:val="xl72"/>
    <w:basedOn w:val="Normal"/>
    <w:rsid w:val="00C65B87"/>
    <w:pPr>
      <w:spacing w:before="100" w:beforeAutospacing="1" w:after="100" w:afterAutospacing="1"/>
      <w:jc w:val="left"/>
    </w:pPr>
    <w:rPr>
      <w:rFonts w:ascii="Times New Roman" w:hAnsi="Times New Roman"/>
      <w:sz w:val="20"/>
      <w:szCs w:val="20"/>
    </w:rPr>
  </w:style>
  <w:style w:type="paragraph" w:customStyle="1" w:styleId="xl73">
    <w:name w:val="xl73"/>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0"/>
      <w:szCs w:val="20"/>
    </w:rPr>
  </w:style>
  <w:style w:type="paragraph" w:customStyle="1" w:styleId="xl74">
    <w:name w:val="xl74"/>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0"/>
      <w:szCs w:val="20"/>
    </w:rPr>
  </w:style>
  <w:style w:type="paragraph" w:customStyle="1" w:styleId="xl75">
    <w:name w:val="xl75"/>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6">
    <w:name w:val="xl76"/>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7">
    <w:name w:val="xl77"/>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0"/>
      <w:szCs w:val="20"/>
    </w:rPr>
  </w:style>
  <w:style w:type="paragraph" w:customStyle="1" w:styleId="xl78">
    <w:name w:val="xl78"/>
    <w:basedOn w:val="Normal"/>
    <w:rsid w:val="00C65B87"/>
    <w:pPr>
      <w:pBdr>
        <w:top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79">
    <w:name w:val="xl79"/>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0">
    <w:name w:val="xl80"/>
    <w:basedOn w:val="Normal"/>
    <w:rsid w:val="00C65B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0"/>
      <w:szCs w:val="20"/>
    </w:rPr>
  </w:style>
  <w:style w:type="paragraph" w:customStyle="1" w:styleId="xl81">
    <w:name w:val="xl81"/>
    <w:basedOn w:val="Normal"/>
    <w:rsid w:val="00C65B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2">
    <w:name w:val="xl82"/>
    <w:basedOn w:val="Normal"/>
    <w:rsid w:val="00C65B87"/>
    <w:pPr>
      <w:pBdr>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3">
    <w:name w:val="xl83"/>
    <w:basedOn w:val="Normal"/>
    <w:rsid w:val="00C65B8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4">
    <w:name w:val="xl84"/>
    <w:basedOn w:val="Normal"/>
    <w:rsid w:val="00C65B87"/>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Times New Roman"/>
      <w:sz w:val="20"/>
      <w:szCs w:val="20"/>
    </w:rPr>
  </w:style>
  <w:style w:type="paragraph" w:customStyle="1" w:styleId="xl85">
    <w:name w:val="xl85"/>
    <w:basedOn w:val="Normal"/>
    <w:rsid w:val="00C65B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hAnsi="Times New Roman"/>
      <w:sz w:val="20"/>
      <w:szCs w:val="20"/>
    </w:rPr>
  </w:style>
  <w:style w:type="paragraph" w:customStyle="1" w:styleId="xl86">
    <w:name w:val="xl86"/>
    <w:basedOn w:val="Normal"/>
    <w:rsid w:val="00C65B87"/>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0"/>
      <w:szCs w:val="20"/>
    </w:rPr>
  </w:style>
  <w:style w:type="paragraph" w:customStyle="1" w:styleId="xl87">
    <w:name w:val="xl87"/>
    <w:basedOn w:val="Normal"/>
    <w:rsid w:val="00C65B8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0"/>
      <w:szCs w:val="20"/>
    </w:rPr>
  </w:style>
  <w:style w:type="paragraph" w:customStyle="1" w:styleId="xl88">
    <w:name w:val="xl88"/>
    <w:basedOn w:val="Normal"/>
    <w:rsid w:val="00C65B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9">
    <w:name w:val="xl89"/>
    <w:basedOn w:val="Normal"/>
    <w:rsid w:val="00C65B87"/>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rPr>
  </w:style>
  <w:style w:type="paragraph" w:customStyle="1" w:styleId="Body">
    <w:name w:val="Body"/>
    <w:rsid w:val="00CD35BC"/>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character" w:customStyle="1" w:styleId="None">
    <w:name w:val="None"/>
    <w:rsid w:val="00CD35BC"/>
  </w:style>
  <w:style w:type="paragraph" w:customStyle="1" w:styleId="Question">
    <w:name w:val="Question"/>
    <w:rsid w:val="00CD35BC"/>
    <w:pPr>
      <w:keepLines/>
      <w:widowControl w:val="0"/>
      <w:pBdr>
        <w:top w:val="nil"/>
        <w:left w:val="nil"/>
        <w:bottom w:val="nil"/>
        <w:right w:val="nil"/>
        <w:between w:val="nil"/>
        <w:bar w:val="nil"/>
      </w:pBdr>
      <w:tabs>
        <w:tab w:val="left" w:pos="720"/>
      </w:tabs>
      <w:spacing w:before="120" w:after="120"/>
    </w:pPr>
    <w:rPr>
      <w:rFonts w:eastAsia="Arial Unicode MS" w:cs="Arial Unicode MS"/>
      <w:color w:val="000000"/>
      <w:sz w:val="22"/>
      <w:szCs w:val="22"/>
      <w:u w:color="000000"/>
      <w:bdr w:val="nil"/>
    </w:rPr>
  </w:style>
  <w:style w:type="paragraph" w:styleId="TOC3">
    <w:name w:val="toc 3"/>
    <w:basedOn w:val="Normal"/>
    <w:next w:val="Normal"/>
    <w:autoRedefine/>
    <w:uiPriority w:val="39"/>
    <w:unhideWhenUsed/>
    <w:rsid w:val="00CD35BC"/>
    <w:pPr>
      <w:spacing w:after="100"/>
      <w:ind w:left="480"/>
    </w:pPr>
  </w:style>
  <w:style w:type="paragraph" w:customStyle="1" w:styleId="ParaMargin">
    <w:name w:val="_ParaMargin"/>
    <w:basedOn w:val="Normal"/>
    <w:rsid w:val="00AD7BC4"/>
    <w:rPr>
      <w:rFonts w:ascii="Calibri" w:hAnsi="Calibri"/>
      <w:szCs w:val="20"/>
    </w:rPr>
  </w:style>
  <w:style w:type="paragraph" w:customStyle="1" w:styleId="HeadingSub">
    <w:name w:val="_HeadingSub"/>
    <w:basedOn w:val="ParaMargin"/>
    <w:next w:val="ParaMargin"/>
    <w:rsid w:val="00AD7BC4"/>
    <w:pPr>
      <w:keepNext/>
      <w:spacing w:after="120"/>
    </w:pPr>
    <w:rPr>
      <w:color w:val="495F70"/>
      <w:sz w:val="40"/>
    </w:rPr>
  </w:style>
  <w:style w:type="paragraph" w:customStyle="1" w:styleId="HeadingTitle">
    <w:name w:val="_HeadingTitle"/>
    <w:basedOn w:val="ParaMargin"/>
    <w:next w:val="ParaMargin"/>
    <w:rsid w:val="00AD7BC4"/>
    <w:pPr>
      <w:spacing w:after="120"/>
    </w:pPr>
    <w:rPr>
      <w:color w:val="00519E"/>
      <w:sz w:val="44"/>
    </w:rPr>
  </w:style>
  <w:style w:type="character" w:customStyle="1" w:styleId="Style5">
    <w:name w:val="Style5"/>
    <w:basedOn w:val="DefaultParagraphFont"/>
    <w:uiPriority w:val="1"/>
    <w:rsid w:val="00A66C4C"/>
    <w:rPr>
      <w:rFonts w:ascii="Myriad Pro" w:hAnsi="Myriad Pro"/>
      <w:sz w:val="22"/>
    </w:rPr>
  </w:style>
  <w:style w:type="character" w:customStyle="1" w:styleId="ListParagraphChar">
    <w:name w:val="List Paragraph Char"/>
    <w:aliases w:val="References Char,Bullets Char,Paragraphe  revu Char,List Paragraph (numbered (a)) Char,Numbered List Paragraph Char,Liste 1 Char,List Paragraph1 Char,List Bullet Mary Char,Dot pt Char,Bullet Points Char,No Spacing1 Char,Bullet 1 Char"/>
    <w:link w:val="ListParagraph"/>
    <w:qFormat/>
    <w:locked/>
    <w:rsid w:val="00A66C4C"/>
    <w:rPr>
      <w:rFonts w:ascii="Garamond" w:hAnsi="Garamond"/>
      <w:sz w:val="24"/>
      <w:szCs w:val="24"/>
    </w:rPr>
  </w:style>
  <w:style w:type="character" w:customStyle="1" w:styleId="cf01">
    <w:name w:val="cf01"/>
    <w:basedOn w:val="DefaultParagraphFont"/>
    <w:rsid w:val="00F872BF"/>
    <w:rPr>
      <w:rFonts w:ascii="Segoe UI" w:hAnsi="Segoe UI" w:cs="Segoe UI" w:hint="default"/>
      <w:sz w:val="18"/>
      <w:szCs w:val="18"/>
    </w:rPr>
  </w:style>
  <w:style w:type="paragraph" w:customStyle="1" w:styleId="BodyText1">
    <w:name w:val="Body Text1"/>
    <w:basedOn w:val="Normal"/>
    <w:link w:val="BodyText1Char"/>
    <w:uiPriority w:val="99"/>
    <w:qFormat/>
    <w:rsid w:val="00094E1F"/>
    <w:pPr>
      <w:tabs>
        <w:tab w:val="right" w:pos="8784"/>
      </w:tabs>
      <w:spacing w:before="240" w:after="240"/>
      <w:ind w:left="850"/>
    </w:pPr>
    <w:rPr>
      <w:rFonts w:ascii="Book Antiqua" w:hAnsi="Book Antiqua"/>
      <w:kern w:val="22"/>
      <w:sz w:val="20"/>
    </w:rPr>
  </w:style>
  <w:style w:type="character" w:customStyle="1" w:styleId="BodyText1Char">
    <w:name w:val="Body Text1 Char"/>
    <w:link w:val="BodyText1"/>
    <w:uiPriority w:val="99"/>
    <w:locked/>
    <w:rsid w:val="00094E1F"/>
    <w:rPr>
      <w:rFonts w:ascii="Book Antiqua" w:hAnsi="Book Antiqua"/>
      <w:kern w:val="22"/>
      <w:szCs w:val="24"/>
    </w:rPr>
  </w:style>
  <w:style w:type="character" w:customStyle="1" w:styleId="FootnoteTextChar">
    <w:name w:val="Footnote Text Char"/>
    <w:basedOn w:val="DefaultParagraphFont"/>
    <w:link w:val="FootnoteText"/>
    <w:uiPriority w:val="99"/>
    <w:semiHidden/>
    <w:qFormat/>
    <w:rsid w:val="00063EC2"/>
    <w:rPr>
      <w:rFonts w:ascii="Garamond" w:hAnsi="Garamond"/>
      <w:sz w:val="18"/>
    </w:rPr>
  </w:style>
  <w:style w:type="table" w:customStyle="1" w:styleId="TableGrid0">
    <w:name w:val="TableGrid"/>
    <w:rsid w:val="00910A76"/>
    <w:rPr>
      <w:rFonts w:asciiTheme="minorHAnsi" w:eastAsiaTheme="minorEastAsia" w:hAnsiTheme="minorHAnsi" w:cstheme="minorBidi"/>
      <w:kern w:val="2"/>
      <w:sz w:val="24"/>
      <w:szCs w:val="24"/>
    </w:rPr>
    <w:tblPr>
      <w:tblCellMar>
        <w:top w:w="0" w:type="dxa"/>
        <w:left w:w="0" w:type="dxa"/>
        <w:bottom w:w="0" w:type="dxa"/>
        <w:right w:w="0" w:type="dxa"/>
      </w:tblCellMar>
    </w:tblPr>
  </w:style>
  <w:style w:type="paragraph" w:customStyle="1" w:styleId="TabellentextrechtsbndigI">
    <w:name w:val="Tabellentext_rechtsbündig_ÖI"/>
    <w:basedOn w:val="Normal"/>
    <w:uiPriority w:val="96"/>
    <w:unhideWhenUsed/>
    <w:rsid w:val="002153A8"/>
    <w:pPr>
      <w:keepNext/>
      <w:keepLines/>
      <w:contextualSpacing/>
      <w:jc w:val="right"/>
    </w:pPr>
    <w:rPr>
      <w:rFonts w:ascii="Times New Roman" w:eastAsia="Arial" w:hAnsi="Times New Roman" w:cs="Arial"/>
      <w:sz w:val="20"/>
      <w:szCs w:val="20"/>
    </w:rPr>
  </w:style>
  <w:style w:type="paragraph" w:customStyle="1" w:styleId="TabellentextlinksbndigI">
    <w:name w:val="Tabellentext_linksbündig_ÖI"/>
    <w:basedOn w:val="Normal"/>
    <w:uiPriority w:val="96"/>
    <w:unhideWhenUsed/>
    <w:rsid w:val="002153A8"/>
    <w:pPr>
      <w:keepNext/>
      <w:keepLines/>
      <w:contextualSpacing/>
      <w:jc w:val="left"/>
    </w:pPr>
    <w:rPr>
      <w:rFonts w:ascii="Times New Roman" w:eastAsia="Arial" w:hAnsi="Times New Roman" w:cs="Arial"/>
      <w:sz w:val="20"/>
      <w:szCs w:val="20"/>
    </w:rPr>
  </w:style>
  <w:style w:type="paragraph" w:customStyle="1" w:styleId="TableParagraph">
    <w:name w:val="Table Paragraph"/>
    <w:basedOn w:val="Normal"/>
    <w:uiPriority w:val="1"/>
    <w:qFormat/>
    <w:rsid w:val="002153A8"/>
    <w:pPr>
      <w:widowControl w:val="0"/>
      <w:autoSpaceDE w:val="0"/>
      <w:autoSpaceDN w:val="0"/>
      <w:spacing w:before="0"/>
      <w:jc w:val="left"/>
    </w:pPr>
    <w:rPr>
      <w:rFonts w:ascii="Times New Roman" w:hAnsi="Times New Roman"/>
      <w:sz w:val="22"/>
      <w:szCs w:val="22"/>
      <w:lang w:bidi="en-US"/>
    </w:rPr>
  </w:style>
  <w:style w:type="character" w:customStyle="1" w:styleId="UnresolvedMention1">
    <w:name w:val="Unresolved Mention1"/>
    <w:basedOn w:val="DefaultParagraphFont"/>
    <w:uiPriority w:val="99"/>
    <w:semiHidden/>
    <w:unhideWhenUsed/>
    <w:rsid w:val="00AC1C52"/>
    <w:rPr>
      <w:color w:val="605E5C"/>
      <w:shd w:val="clear" w:color="auto" w:fill="E1DFDD"/>
    </w:rPr>
  </w:style>
  <w:style w:type="character" w:customStyle="1" w:styleId="UnresolvedMention2">
    <w:name w:val="Unresolved Mention2"/>
    <w:basedOn w:val="DefaultParagraphFont"/>
    <w:uiPriority w:val="99"/>
    <w:semiHidden/>
    <w:unhideWhenUsed/>
    <w:rsid w:val="004F6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898798">
      <w:bodyDiv w:val="1"/>
      <w:marLeft w:val="0"/>
      <w:marRight w:val="0"/>
      <w:marTop w:val="0"/>
      <w:marBottom w:val="0"/>
      <w:divBdr>
        <w:top w:val="none" w:sz="0" w:space="0" w:color="auto"/>
        <w:left w:val="none" w:sz="0" w:space="0" w:color="auto"/>
        <w:bottom w:val="none" w:sz="0" w:space="0" w:color="auto"/>
        <w:right w:val="none" w:sz="0" w:space="0" w:color="auto"/>
      </w:divBdr>
    </w:div>
    <w:div w:id="46148679">
      <w:bodyDiv w:val="1"/>
      <w:marLeft w:val="0"/>
      <w:marRight w:val="0"/>
      <w:marTop w:val="0"/>
      <w:marBottom w:val="0"/>
      <w:divBdr>
        <w:top w:val="none" w:sz="0" w:space="0" w:color="auto"/>
        <w:left w:val="none" w:sz="0" w:space="0" w:color="auto"/>
        <w:bottom w:val="none" w:sz="0" w:space="0" w:color="auto"/>
        <w:right w:val="none" w:sz="0" w:space="0" w:color="auto"/>
      </w:divBdr>
    </w:div>
    <w:div w:id="85421294">
      <w:bodyDiv w:val="1"/>
      <w:marLeft w:val="0"/>
      <w:marRight w:val="0"/>
      <w:marTop w:val="0"/>
      <w:marBottom w:val="0"/>
      <w:divBdr>
        <w:top w:val="none" w:sz="0" w:space="0" w:color="auto"/>
        <w:left w:val="none" w:sz="0" w:space="0" w:color="auto"/>
        <w:bottom w:val="none" w:sz="0" w:space="0" w:color="auto"/>
        <w:right w:val="none" w:sz="0" w:space="0" w:color="auto"/>
      </w:divBdr>
    </w:div>
    <w:div w:id="89352845">
      <w:bodyDiv w:val="1"/>
      <w:marLeft w:val="0"/>
      <w:marRight w:val="0"/>
      <w:marTop w:val="0"/>
      <w:marBottom w:val="0"/>
      <w:divBdr>
        <w:top w:val="none" w:sz="0" w:space="0" w:color="auto"/>
        <w:left w:val="none" w:sz="0" w:space="0" w:color="auto"/>
        <w:bottom w:val="none" w:sz="0" w:space="0" w:color="auto"/>
        <w:right w:val="none" w:sz="0" w:space="0" w:color="auto"/>
      </w:divBdr>
    </w:div>
    <w:div w:id="89669960">
      <w:bodyDiv w:val="1"/>
      <w:marLeft w:val="0"/>
      <w:marRight w:val="0"/>
      <w:marTop w:val="0"/>
      <w:marBottom w:val="0"/>
      <w:divBdr>
        <w:top w:val="none" w:sz="0" w:space="0" w:color="auto"/>
        <w:left w:val="none" w:sz="0" w:space="0" w:color="auto"/>
        <w:bottom w:val="none" w:sz="0" w:space="0" w:color="auto"/>
        <w:right w:val="none" w:sz="0" w:space="0" w:color="auto"/>
      </w:divBdr>
    </w:div>
    <w:div w:id="102310114">
      <w:bodyDiv w:val="1"/>
      <w:marLeft w:val="0"/>
      <w:marRight w:val="0"/>
      <w:marTop w:val="0"/>
      <w:marBottom w:val="0"/>
      <w:divBdr>
        <w:top w:val="none" w:sz="0" w:space="0" w:color="auto"/>
        <w:left w:val="none" w:sz="0" w:space="0" w:color="auto"/>
        <w:bottom w:val="none" w:sz="0" w:space="0" w:color="auto"/>
        <w:right w:val="none" w:sz="0" w:space="0" w:color="auto"/>
      </w:divBdr>
    </w:div>
    <w:div w:id="111365742">
      <w:bodyDiv w:val="1"/>
      <w:marLeft w:val="0"/>
      <w:marRight w:val="0"/>
      <w:marTop w:val="0"/>
      <w:marBottom w:val="0"/>
      <w:divBdr>
        <w:top w:val="none" w:sz="0" w:space="0" w:color="auto"/>
        <w:left w:val="none" w:sz="0" w:space="0" w:color="auto"/>
        <w:bottom w:val="none" w:sz="0" w:space="0" w:color="auto"/>
        <w:right w:val="none" w:sz="0" w:space="0" w:color="auto"/>
      </w:divBdr>
    </w:div>
    <w:div w:id="139660678">
      <w:bodyDiv w:val="1"/>
      <w:marLeft w:val="0"/>
      <w:marRight w:val="0"/>
      <w:marTop w:val="0"/>
      <w:marBottom w:val="0"/>
      <w:divBdr>
        <w:top w:val="none" w:sz="0" w:space="0" w:color="auto"/>
        <w:left w:val="none" w:sz="0" w:space="0" w:color="auto"/>
        <w:bottom w:val="none" w:sz="0" w:space="0" w:color="auto"/>
        <w:right w:val="none" w:sz="0" w:space="0" w:color="auto"/>
      </w:divBdr>
    </w:div>
    <w:div w:id="162206161">
      <w:bodyDiv w:val="1"/>
      <w:marLeft w:val="0"/>
      <w:marRight w:val="0"/>
      <w:marTop w:val="0"/>
      <w:marBottom w:val="0"/>
      <w:divBdr>
        <w:top w:val="none" w:sz="0" w:space="0" w:color="auto"/>
        <w:left w:val="none" w:sz="0" w:space="0" w:color="auto"/>
        <w:bottom w:val="none" w:sz="0" w:space="0" w:color="auto"/>
        <w:right w:val="none" w:sz="0" w:space="0" w:color="auto"/>
      </w:divBdr>
    </w:div>
    <w:div w:id="166746764">
      <w:bodyDiv w:val="1"/>
      <w:marLeft w:val="0"/>
      <w:marRight w:val="0"/>
      <w:marTop w:val="0"/>
      <w:marBottom w:val="0"/>
      <w:divBdr>
        <w:top w:val="none" w:sz="0" w:space="0" w:color="auto"/>
        <w:left w:val="none" w:sz="0" w:space="0" w:color="auto"/>
        <w:bottom w:val="none" w:sz="0" w:space="0" w:color="auto"/>
        <w:right w:val="none" w:sz="0" w:space="0" w:color="auto"/>
      </w:divBdr>
    </w:div>
    <w:div w:id="206187529">
      <w:bodyDiv w:val="1"/>
      <w:marLeft w:val="0"/>
      <w:marRight w:val="0"/>
      <w:marTop w:val="0"/>
      <w:marBottom w:val="0"/>
      <w:divBdr>
        <w:top w:val="none" w:sz="0" w:space="0" w:color="auto"/>
        <w:left w:val="none" w:sz="0" w:space="0" w:color="auto"/>
        <w:bottom w:val="none" w:sz="0" w:space="0" w:color="auto"/>
        <w:right w:val="none" w:sz="0" w:space="0" w:color="auto"/>
      </w:divBdr>
    </w:div>
    <w:div w:id="212080885">
      <w:bodyDiv w:val="1"/>
      <w:marLeft w:val="0"/>
      <w:marRight w:val="0"/>
      <w:marTop w:val="0"/>
      <w:marBottom w:val="0"/>
      <w:divBdr>
        <w:top w:val="none" w:sz="0" w:space="0" w:color="auto"/>
        <w:left w:val="none" w:sz="0" w:space="0" w:color="auto"/>
        <w:bottom w:val="none" w:sz="0" w:space="0" w:color="auto"/>
        <w:right w:val="none" w:sz="0" w:space="0" w:color="auto"/>
      </w:divBdr>
    </w:div>
    <w:div w:id="250354229">
      <w:bodyDiv w:val="1"/>
      <w:marLeft w:val="0"/>
      <w:marRight w:val="0"/>
      <w:marTop w:val="0"/>
      <w:marBottom w:val="0"/>
      <w:divBdr>
        <w:top w:val="none" w:sz="0" w:space="0" w:color="auto"/>
        <w:left w:val="none" w:sz="0" w:space="0" w:color="auto"/>
        <w:bottom w:val="none" w:sz="0" w:space="0" w:color="auto"/>
        <w:right w:val="none" w:sz="0" w:space="0" w:color="auto"/>
      </w:divBdr>
    </w:div>
    <w:div w:id="253635369">
      <w:bodyDiv w:val="1"/>
      <w:marLeft w:val="0"/>
      <w:marRight w:val="0"/>
      <w:marTop w:val="0"/>
      <w:marBottom w:val="0"/>
      <w:divBdr>
        <w:top w:val="none" w:sz="0" w:space="0" w:color="auto"/>
        <w:left w:val="none" w:sz="0" w:space="0" w:color="auto"/>
        <w:bottom w:val="none" w:sz="0" w:space="0" w:color="auto"/>
        <w:right w:val="none" w:sz="0" w:space="0" w:color="auto"/>
      </w:divBdr>
    </w:div>
    <w:div w:id="265120778">
      <w:bodyDiv w:val="1"/>
      <w:marLeft w:val="0"/>
      <w:marRight w:val="0"/>
      <w:marTop w:val="0"/>
      <w:marBottom w:val="0"/>
      <w:divBdr>
        <w:top w:val="none" w:sz="0" w:space="0" w:color="auto"/>
        <w:left w:val="none" w:sz="0" w:space="0" w:color="auto"/>
        <w:bottom w:val="none" w:sz="0" w:space="0" w:color="auto"/>
        <w:right w:val="none" w:sz="0" w:space="0" w:color="auto"/>
      </w:divBdr>
    </w:div>
    <w:div w:id="277490326">
      <w:bodyDiv w:val="1"/>
      <w:marLeft w:val="0"/>
      <w:marRight w:val="0"/>
      <w:marTop w:val="0"/>
      <w:marBottom w:val="0"/>
      <w:divBdr>
        <w:top w:val="none" w:sz="0" w:space="0" w:color="auto"/>
        <w:left w:val="none" w:sz="0" w:space="0" w:color="auto"/>
        <w:bottom w:val="none" w:sz="0" w:space="0" w:color="auto"/>
        <w:right w:val="none" w:sz="0" w:space="0" w:color="auto"/>
      </w:divBdr>
    </w:div>
    <w:div w:id="288173423">
      <w:bodyDiv w:val="1"/>
      <w:marLeft w:val="0"/>
      <w:marRight w:val="0"/>
      <w:marTop w:val="0"/>
      <w:marBottom w:val="0"/>
      <w:divBdr>
        <w:top w:val="none" w:sz="0" w:space="0" w:color="auto"/>
        <w:left w:val="none" w:sz="0" w:space="0" w:color="auto"/>
        <w:bottom w:val="none" w:sz="0" w:space="0" w:color="auto"/>
        <w:right w:val="none" w:sz="0" w:space="0" w:color="auto"/>
      </w:divBdr>
    </w:div>
    <w:div w:id="329333013">
      <w:bodyDiv w:val="1"/>
      <w:marLeft w:val="0"/>
      <w:marRight w:val="0"/>
      <w:marTop w:val="0"/>
      <w:marBottom w:val="0"/>
      <w:divBdr>
        <w:top w:val="none" w:sz="0" w:space="0" w:color="auto"/>
        <w:left w:val="none" w:sz="0" w:space="0" w:color="auto"/>
        <w:bottom w:val="none" w:sz="0" w:space="0" w:color="auto"/>
        <w:right w:val="none" w:sz="0" w:space="0" w:color="auto"/>
      </w:divBdr>
    </w:div>
    <w:div w:id="330303641">
      <w:bodyDiv w:val="1"/>
      <w:marLeft w:val="0"/>
      <w:marRight w:val="0"/>
      <w:marTop w:val="0"/>
      <w:marBottom w:val="0"/>
      <w:divBdr>
        <w:top w:val="none" w:sz="0" w:space="0" w:color="auto"/>
        <w:left w:val="none" w:sz="0" w:space="0" w:color="auto"/>
        <w:bottom w:val="none" w:sz="0" w:space="0" w:color="auto"/>
        <w:right w:val="none" w:sz="0" w:space="0" w:color="auto"/>
      </w:divBdr>
    </w:div>
    <w:div w:id="352221228">
      <w:bodyDiv w:val="1"/>
      <w:marLeft w:val="0"/>
      <w:marRight w:val="0"/>
      <w:marTop w:val="0"/>
      <w:marBottom w:val="0"/>
      <w:divBdr>
        <w:top w:val="none" w:sz="0" w:space="0" w:color="auto"/>
        <w:left w:val="none" w:sz="0" w:space="0" w:color="auto"/>
        <w:bottom w:val="none" w:sz="0" w:space="0" w:color="auto"/>
        <w:right w:val="none" w:sz="0" w:space="0" w:color="auto"/>
      </w:divBdr>
    </w:div>
    <w:div w:id="357237912">
      <w:bodyDiv w:val="1"/>
      <w:marLeft w:val="0"/>
      <w:marRight w:val="0"/>
      <w:marTop w:val="0"/>
      <w:marBottom w:val="0"/>
      <w:divBdr>
        <w:top w:val="none" w:sz="0" w:space="0" w:color="auto"/>
        <w:left w:val="none" w:sz="0" w:space="0" w:color="auto"/>
        <w:bottom w:val="none" w:sz="0" w:space="0" w:color="auto"/>
        <w:right w:val="none" w:sz="0" w:space="0" w:color="auto"/>
      </w:divBdr>
    </w:div>
    <w:div w:id="402991323">
      <w:bodyDiv w:val="1"/>
      <w:marLeft w:val="0"/>
      <w:marRight w:val="0"/>
      <w:marTop w:val="0"/>
      <w:marBottom w:val="0"/>
      <w:divBdr>
        <w:top w:val="none" w:sz="0" w:space="0" w:color="auto"/>
        <w:left w:val="none" w:sz="0" w:space="0" w:color="auto"/>
        <w:bottom w:val="none" w:sz="0" w:space="0" w:color="auto"/>
        <w:right w:val="none" w:sz="0" w:space="0" w:color="auto"/>
      </w:divBdr>
    </w:div>
    <w:div w:id="403182449">
      <w:bodyDiv w:val="1"/>
      <w:marLeft w:val="0"/>
      <w:marRight w:val="0"/>
      <w:marTop w:val="0"/>
      <w:marBottom w:val="0"/>
      <w:divBdr>
        <w:top w:val="none" w:sz="0" w:space="0" w:color="auto"/>
        <w:left w:val="none" w:sz="0" w:space="0" w:color="auto"/>
        <w:bottom w:val="none" w:sz="0" w:space="0" w:color="auto"/>
        <w:right w:val="none" w:sz="0" w:space="0" w:color="auto"/>
      </w:divBdr>
    </w:div>
    <w:div w:id="421145050">
      <w:bodyDiv w:val="1"/>
      <w:marLeft w:val="0"/>
      <w:marRight w:val="0"/>
      <w:marTop w:val="0"/>
      <w:marBottom w:val="0"/>
      <w:divBdr>
        <w:top w:val="none" w:sz="0" w:space="0" w:color="auto"/>
        <w:left w:val="none" w:sz="0" w:space="0" w:color="auto"/>
        <w:bottom w:val="none" w:sz="0" w:space="0" w:color="auto"/>
        <w:right w:val="none" w:sz="0" w:space="0" w:color="auto"/>
      </w:divBdr>
    </w:div>
    <w:div w:id="521431133">
      <w:bodyDiv w:val="1"/>
      <w:marLeft w:val="0"/>
      <w:marRight w:val="0"/>
      <w:marTop w:val="0"/>
      <w:marBottom w:val="0"/>
      <w:divBdr>
        <w:top w:val="none" w:sz="0" w:space="0" w:color="auto"/>
        <w:left w:val="none" w:sz="0" w:space="0" w:color="auto"/>
        <w:bottom w:val="none" w:sz="0" w:space="0" w:color="auto"/>
        <w:right w:val="none" w:sz="0" w:space="0" w:color="auto"/>
      </w:divBdr>
    </w:div>
    <w:div w:id="591397592">
      <w:bodyDiv w:val="1"/>
      <w:marLeft w:val="0"/>
      <w:marRight w:val="0"/>
      <w:marTop w:val="0"/>
      <w:marBottom w:val="0"/>
      <w:divBdr>
        <w:top w:val="none" w:sz="0" w:space="0" w:color="auto"/>
        <w:left w:val="none" w:sz="0" w:space="0" w:color="auto"/>
        <w:bottom w:val="none" w:sz="0" w:space="0" w:color="auto"/>
        <w:right w:val="none" w:sz="0" w:space="0" w:color="auto"/>
      </w:divBdr>
    </w:div>
    <w:div w:id="600649185">
      <w:bodyDiv w:val="1"/>
      <w:marLeft w:val="0"/>
      <w:marRight w:val="0"/>
      <w:marTop w:val="0"/>
      <w:marBottom w:val="0"/>
      <w:divBdr>
        <w:top w:val="none" w:sz="0" w:space="0" w:color="auto"/>
        <w:left w:val="none" w:sz="0" w:space="0" w:color="auto"/>
        <w:bottom w:val="none" w:sz="0" w:space="0" w:color="auto"/>
        <w:right w:val="none" w:sz="0" w:space="0" w:color="auto"/>
      </w:divBdr>
    </w:div>
    <w:div w:id="605160046">
      <w:bodyDiv w:val="1"/>
      <w:marLeft w:val="0"/>
      <w:marRight w:val="0"/>
      <w:marTop w:val="0"/>
      <w:marBottom w:val="0"/>
      <w:divBdr>
        <w:top w:val="none" w:sz="0" w:space="0" w:color="auto"/>
        <w:left w:val="none" w:sz="0" w:space="0" w:color="auto"/>
        <w:bottom w:val="none" w:sz="0" w:space="0" w:color="auto"/>
        <w:right w:val="none" w:sz="0" w:space="0" w:color="auto"/>
      </w:divBdr>
    </w:div>
    <w:div w:id="614366811">
      <w:bodyDiv w:val="1"/>
      <w:marLeft w:val="0"/>
      <w:marRight w:val="0"/>
      <w:marTop w:val="0"/>
      <w:marBottom w:val="0"/>
      <w:divBdr>
        <w:top w:val="none" w:sz="0" w:space="0" w:color="auto"/>
        <w:left w:val="none" w:sz="0" w:space="0" w:color="auto"/>
        <w:bottom w:val="none" w:sz="0" w:space="0" w:color="auto"/>
        <w:right w:val="none" w:sz="0" w:space="0" w:color="auto"/>
      </w:divBdr>
    </w:div>
    <w:div w:id="618529430">
      <w:bodyDiv w:val="1"/>
      <w:marLeft w:val="0"/>
      <w:marRight w:val="0"/>
      <w:marTop w:val="0"/>
      <w:marBottom w:val="0"/>
      <w:divBdr>
        <w:top w:val="none" w:sz="0" w:space="0" w:color="auto"/>
        <w:left w:val="none" w:sz="0" w:space="0" w:color="auto"/>
        <w:bottom w:val="none" w:sz="0" w:space="0" w:color="auto"/>
        <w:right w:val="none" w:sz="0" w:space="0" w:color="auto"/>
      </w:divBdr>
      <w:divsChild>
        <w:div w:id="1654793145">
          <w:marLeft w:val="0"/>
          <w:marRight w:val="0"/>
          <w:marTop w:val="0"/>
          <w:marBottom w:val="0"/>
          <w:divBdr>
            <w:top w:val="none" w:sz="0" w:space="0" w:color="auto"/>
            <w:left w:val="none" w:sz="0" w:space="0" w:color="auto"/>
            <w:bottom w:val="none" w:sz="0" w:space="0" w:color="auto"/>
            <w:right w:val="none" w:sz="0" w:space="0" w:color="auto"/>
          </w:divBdr>
        </w:div>
      </w:divsChild>
    </w:div>
    <w:div w:id="645597508">
      <w:bodyDiv w:val="1"/>
      <w:marLeft w:val="0"/>
      <w:marRight w:val="0"/>
      <w:marTop w:val="0"/>
      <w:marBottom w:val="0"/>
      <w:divBdr>
        <w:top w:val="none" w:sz="0" w:space="0" w:color="auto"/>
        <w:left w:val="none" w:sz="0" w:space="0" w:color="auto"/>
        <w:bottom w:val="none" w:sz="0" w:space="0" w:color="auto"/>
        <w:right w:val="none" w:sz="0" w:space="0" w:color="auto"/>
      </w:divBdr>
    </w:div>
    <w:div w:id="710691974">
      <w:bodyDiv w:val="1"/>
      <w:marLeft w:val="0"/>
      <w:marRight w:val="0"/>
      <w:marTop w:val="0"/>
      <w:marBottom w:val="0"/>
      <w:divBdr>
        <w:top w:val="none" w:sz="0" w:space="0" w:color="auto"/>
        <w:left w:val="none" w:sz="0" w:space="0" w:color="auto"/>
        <w:bottom w:val="none" w:sz="0" w:space="0" w:color="auto"/>
        <w:right w:val="none" w:sz="0" w:space="0" w:color="auto"/>
      </w:divBdr>
    </w:div>
    <w:div w:id="758791334">
      <w:bodyDiv w:val="1"/>
      <w:marLeft w:val="0"/>
      <w:marRight w:val="0"/>
      <w:marTop w:val="0"/>
      <w:marBottom w:val="0"/>
      <w:divBdr>
        <w:top w:val="none" w:sz="0" w:space="0" w:color="auto"/>
        <w:left w:val="none" w:sz="0" w:space="0" w:color="auto"/>
        <w:bottom w:val="none" w:sz="0" w:space="0" w:color="auto"/>
        <w:right w:val="none" w:sz="0" w:space="0" w:color="auto"/>
      </w:divBdr>
    </w:div>
    <w:div w:id="789400930">
      <w:bodyDiv w:val="1"/>
      <w:marLeft w:val="0"/>
      <w:marRight w:val="0"/>
      <w:marTop w:val="0"/>
      <w:marBottom w:val="0"/>
      <w:divBdr>
        <w:top w:val="none" w:sz="0" w:space="0" w:color="auto"/>
        <w:left w:val="none" w:sz="0" w:space="0" w:color="auto"/>
        <w:bottom w:val="none" w:sz="0" w:space="0" w:color="auto"/>
        <w:right w:val="none" w:sz="0" w:space="0" w:color="auto"/>
      </w:divBdr>
    </w:div>
    <w:div w:id="796483645">
      <w:bodyDiv w:val="1"/>
      <w:marLeft w:val="0"/>
      <w:marRight w:val="0"/>
      <w:marTop w:val="0"/>
      <w:marBottom w:val="0"/>
      <w:divBdr>
        <w:top w:val="none" w:sz="0" w:space="0" w:color="auto"/>
        <w:left w:val="none" w:sz="0" w:space="0" w:color="auto"/>
        <w:bottom w:val="none" w:sz="0" w:space="0" w:color="auto"/>
        <w:right w:val="none" w:sz="0" w:space="0" w:color="auto"/>
      </w:divBdr>
    </w:div>
    <w:div w:id="805320546">
      <w:bodyDiv w:val="1"/>
      <w:marLeft w:val="0"/>
      <w:marRight w:val="0"/>
      <w:marTop w:val="0"/>
      <w:marBottom w:val="0"/>
      <w:divBdr>
        <w:top w:val="none" w:sz="0" w:space="0" w:color="auto"/>
        <w:left w:val="none" w:sz="0" w:space="0" w:color="auto"/>
        <w:bottom w:val="none" w:sz="0" w:space="0" w:color="auto"/>
        <w:right w:val="none" w:sz="0" w:space="0" w:color="auto"/>
      </w:divBdr>
    </w:div>
    <w:div w:id="815221737">
      <w:bodyDiv w:val="1"/>
      <w:marLeft w:val="0"/>
      <w:marRight w:val="0"/>
      <w:marTop w:val="0"/>
      <w:marBottom w:val="0"/>
      <w:divBdr>
        <w:top w:val="none" w:sz="0" w:space="0" w:color="auto"/>
        <w:left w:val="none" w:sz="0" w:space="0" w:color="auto"/>
        <w:bottom w:val="none" w:sz="0" w:space="0" w:color="auto"/>
        <w:right w:val="none" w:sz="0" w:space="0" w:color="auto"/>
      </w:divBdr>
    </w:div>
    <w:div w:id="831918845">
      <w:bodyDiv w:val="1"/>
      <w:marLeft w:val="0"/>
      <w:marRight w:val="0"/>
      <w:marTop w:val="0"/>
      <w:marBottom w:val="0"/>
      <w:divBdr>
        <w:top w:val="none" w:sz="0" w:space="0" w:color="auto"/>
        <w:left w:val="none" w:sz="0" w:space="0" w:color="auto"/>
        <w:bottom w:val="none" w:sz="0" w:space="0" w:color="auto"/>
        <w:right w:val="none" w:sz="0" w:space="0" w:color="auto"/>
      </w:divBdr>
    </w:div>
    <w:div w:id="844706735">
      <w:bodyDiv w:val="1"/>
      <w:marLeft w:val="0"/>
      <w:marRight w:val="0"/>
      <w:marTop w:val="0"/>
      <w:marBottom w:val="0"/>
      <w:divBdr>
        <w:top w:val="none" w:sz="0" w:space="0" w:color="auto"/>
        <w:left w:val="none" w:sz="0" w:space="0" w:color="auto"/>
        <w:bottom w:val="none" w:sz="0" w:space="0" w:color="auto"/>
        <w:right w:val="none" w:sz="0" w:space="0" w:color="auto"/>
      </w:divBdr>
    </w:div>
    <w:div w:id="846334508">
      <w:bodyDiv w:val="1"/>
      <w:marLeft w:val="0"/>
      <w:marRight w:val="0"/>
      <w:marTop w:val="0"/>
      <w:marBottom w:val="0"/>
      <w:divBdr>
        <w:top w:val="none" w:sz="0" w:space="0" w:color="auto"/>
        <w:left w:val="none" w:sz="0" w:space="0" w:color="auto"/>
        <w:bottom w:val="none" w:sz="0" w:space="0" w:color="auto"/>
        <w:right w:val="none" w:sz="0" w:space="0" w:color="auto"/>
      </w:divBdr>
    </w:div>
    <w:div w:id="876547431">
      <w:bodyDiv w:val="1"/>
      <w:marLeft w:val="0"/>
      <w:marRight w:val="0"/>
      <w:marTop w:val="0"/>
      <w:marBottom w:val="0"/>
      <w:divBdr>
        <w:top w:val="none" w:sz="0" w:space="0" w:color="auto"/>
        <w:left w:val="none" w:sz="0" w:space="0" w:color="auto"/>
        <w:bottom w:val="none" w:sz="0" w:space="0" w:color="auto"/>
        <w:right w:val="none" w:sz="0" w:space="0" w:color="auto"/>
      </w:divBdr>
    </w:div>
    <w:div w:id="884681427">
      <w:bodyDiv w:val="1"/>
      <w:marLeft w:val="0"/>
      <w:marRight w:val="0"/>
      <w:marTop w:val="0"/>
      <w:marBottom w:val="0"/>
      <w:divBdr>
        <w:top w:val="none" w:sz="0" w:space="0" w:color="auto"/>
        <w:left w:val="none" w:sz="0" w:space="0" w:color="auto"/>
        <w:bottom w:val="none" w:sz="0" w:space="0" w:color="auto"/>
        <w:right w:val="none" w:sz="0" w:space="0" w:color="auto"/>
      </w:divBdr>
    </w:div>
    <w:div w:id="895967366">
      <w:bodyDiv w:val="1"/>
      <w:marLeft w:val="0"/>
      <w:marRight w:val="0"/>
      <w:marTop w:val="0"/>
      <w:marBottom w:val="0"/>
      <w:divBdr>
        <w:top w:val="none" w:sz="0" w:space="0" w:color="auto"/>
        <w:left w:val="none" w:sz="0" w:space="0" w:color="auto"/>
        <w:bottom w:val="none" w:sz="0" w:space="0" w:color="auto"/>
        <w:right w:val="none" w:sz="0" w:space="0" w:color="auto"/>
      </w:divBdr>
      <w:divsChild>
        <w:div w:id="2073655346">
          <w:marLeft w:val="0"/>
          <w:marRight w:val="0"/>
          <w:marTop w:val="0"/>
          <w:marBottom w:val="0"/>
          <w:divBdr>
            <w:top w:val="none" w:sz="0" w:space="0" w:color="auto"/>
            <w:left w:val="none" w:sz="0" w:space="0" w:color="auto"/>
            <w:bottom w:val="none" w:sz="0" w:space="0" w:color="auto"/>
            <w:right w:val="none" w:sz="0" w:space="0" w:color="auto"/>
          </w:divBdr>
          <w:divsChild>
            <w:div w:id="1309435214">
              <w:marLeft w:val="0"/>
              <w:marRight w:val="0"/>
              <w:marTop w:val="0"/>
              <w:marBottom w:val="0"/>
              <w:divBdr>
                <w:top w:val="none" w:sz="0" w:space="0" w:color="auto"/>
                <w:left w:val="none" w:sz="0" w:space="0" w:color="auto"/>
                <w:bottom w:val="none" w:sz="0" w:space="0" w:color="auto"/>
                <w:right w:val="none" w:sz="0" w:space="0" w:color="auto"/>
              </w:divBdr>
              <w:divsChild>
                <w:div w:id="2086219064">
                  <w:marLeft w:val="0"/>
                  <w:marRight w:val="0"/>
                  <w:marTop w:val="0"/>
                  <w:marBottom w:val="0"/>
                  <w:divBdr>
                    <w:top w:val="none" w:sz="0" w:space="0" w:color="auto"/>
                    <w:left w:val="none" w:sz="0" w:space="0" w:color="auto"/>
                    <w:bottom w:val="none" w:sz="0" w:space="0" w:color="auto"/>
                    <w:right w:val="none" w:sz="0" w:space="0" w:color="auto"/>
                  </w:divBdr>
                  <w:divsChild>
                    <w:div w:id="1839953681">
                      <w:marLeft w:val="0"/>
                      <w:marRight w:val="0"/>
                      <w:marTop w:val="0"/>
                      <w:marBottom w:val="0"/>
                      <w:divBdr>
                        <w:top w:val="none" w:sz="0" w:space="0" w:color="auto"/>
                        <w:left w:val="none" w:sz="0" w:space="0" w:color="auto"/>
                        <w:bottom w:val="none" w:sz="0" w:space="0" w:color="auto"/>
                        <w:right w:val="none" w:sz="0" w:space="0" w:color="auto"/>
                      </w:divBdr>
                      <w:divsChild>
                        <w:div w:id="19171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246778">
      <w:bodyDiv w:val="1"/>
      <w:marLeft w:val="0"/>
      <w:marRight w:val="0"/>
      <w:marTop w:val="0"/>
      <w:marBottom w:val="0"/>
      <w:divBdr>
        <w:top w:val="none" w:sz="0" w:space="0" w:color="auto"/>
        <w:left w:val="none" w:sz="0" w:space="0" w:color="auto"/>
        <w:bottom w:val="none" w:sz="0" w:space="0" w:color="auto"/>
        <w:right w:val="none" w:sz="0" w:space="0" w:color="auto"/>
      </w:divBdr>
    </w:div>
    <w:div w:id="909929300">
      <w:bodyDiv w:val="1"/>
      <w:marLeft w:val="0"/>
      <w:marRight w:val="0"/>
      <w:marTop w:val="0"/>
      <w:marBottom w:val="0"/>
      <w:divBdr>
        <w:top w:val="none" w:sz="0" w:space="0" w:color="auto"/>
        <w:left w:val="none" w:sz="0" w:space="0" w:color="auto"/>
        <w:bottom w:val="none" w:sz="0" w:space="0" w:color="auto"/>
        <w:right w:val="none" w:sz="0" w:space="0" w:color="auto"/>
      </w:divBdr>
    </w:div>
    <w:div w:id="942957453">
      <w:bodyDiv w:val="1"/>
      <w:marLeft w:val="0"/>
      <w:marRight w:val="0"/>
      <w:marTop w:val="0"/>
      <w:marBottom w:val="0"/>
      <w:divBdr>
        <w:top w:val="none" w:sz="0" w:space="0" w:color="auto"/>
        <w:left w:val="none" w:sz="0" w:space="0" w:color="auto"/>
        <w:bottom w:val="none" w:sz="0" w:space="0" w:color="auto"/>
        <w:right w:val="none" w:sz="0" w:space="0" w:color="auto"/>
      </w:divBdr>
    </w:div>
    <w:div w:id="958537431">
      <w:bodyDiv w:val="1"/>
      <w:marLeft w:val="0"/>
      <w:marRight w:val="0"/>
      <w:marTop w:val="0"/>
      <w:marBottom w:val="0"/>
      <w:divBdr>
        <w:top w:val="none" w:sz="0" w:space="0" w:color="auto"/>
        <w:left w:val="none" w:sz="0" w:space="0" w:color="auto"/>
        <w:bottom w:val="none" w:sz="0" w:space="0" w:color="auto"/>
        <w:right w:val="none" w:sz="0" w:space="0" w:color="auto"/>
      </w:divBdr>
    </w:div>
    <w:div w:id="1000620753">
      <w:bodyDiv w:val="1"/>
      <w:marLeft w:val="0"/>
      <w:marRight w:val="0"/>
      <w:marTop w:val="0"/>
      <w:marBottom w:val="0"/>
      <w:divBdr>
        <w:top w:val="none" w:sz="0" w:space="0" w:color="auto"/>
        <w:left w:val="none" w:sz="0" w:space="0" w:color="auto"/>
        <w:bottom w:val="none" w:sz="0" w:space="0" w:color="auto"/>
        <w:right w:val="none" w:sz="0" w:space="0" w:color="auto"/>
      </w:divBdr>
    </w:div>
    <w:div w:id="1001545728">
      <w:bodyDiv w:val="1"/>
      <w:marLeft w:val="0"/>
      <w:marRight w:val="0"/>
      <w:marTop w:val="0"/>
      <w:marBottom w:val="0"/>
      <w:divBdr>
        <w:top w:val="none" w:sz="0" w:space="0" w:color="auto"/>
        <w:left w:val="none" w:sz="0" w:space="0" w:color="auto"/>
        <w:bottom w:val="none" w:sz="0" w:space="0" w:color="auto"/>
        <w:right w:val="none" w:sz="0" w:space="0" w:color="auto"/>
      </w:divBdr>
    </w:div>
    <w:div w:id="1072700524">
      <w:bodyDiv w:val="1"/>
      <w:marLeft w:val="0"/>
      <w:marRight w:val="0"/>
      <w:marTop w:val="0"/>
      <w:marBottom w:val="0"/>
      <w:divBdr>
        <w:top w:val="none" w:sz="0" w:space="0" w:color="auto"/>
        <w:left w:val="none" w:sz="0" w:space="0" w:color="auto"/>
        <w:bottom w:val="none" w:sz="0" w:space="0" w:color="auto"/>
        <w:right w:val="none" w:sz="0" w:space="0" w:color="auto"/>
      </w:divBdr>
    </w:div>
    <w:div w:id="1113940359">
      <w:bodyDiv w:val="1"/>
      <w:marLeft w:val="0"/>
      <w:marRight w:val="0"/>
      <w:marTop w:val="0"/>
      <w:marBottom w:val="0"/>
      <w:divBdr>
        <w:top w:val="none" w:sz="0" w:space="0" w:color="auto"/>
        <w:left w:val="none" w:sz="0" w:space="0" w:color="auto"/>
        <w:bottom w:val="none" w:sz="0" w:space="0" w:color="auto"/>
        <w:right w:val="none" w:sz="0" w:space="0" w:color="auto"/>
      </w:divBdr>
    </w:div>
    <w:div w:id="1126125092">
      <w:bodyDiv w:val="1"/>
      <w:marLeft w:val="0"/>
      <w:marRight w:val="0"/>
      <w:marTop w:val="0"/>
      <w:marBottom w:val="0"/>
      <w:divBdr>
        <w:top w:val="none" w:sz="0" w:space="0" w:color="auto"/>
        <w:left w:val="none" w:sz="0" w:space="0" w:color="auto"/>
        <w:bottom w:val="none" w:sz="0" w:space="0" w:color="auto"/>
        <w:right w:val="none" w:sz="0" w:space="0" w:color="auto"/>
      </w:divBdr>
      <w:divsChild>
        <w:div w:id="1125150316">
          <w:marLeft w:val="0"/>
          <w:marRight w:val="0"/>
          <w:marTop w:val="0"/>
          <w:marBottom w:val="0"/>
          <w:divBdr>
            <w:top w:val="none" w:sz="0" w:space="0" w:color="auto"/>
            <w:left w:val="none" w:sz="0" w:space="0" w:color="auto"/>
            <w:bottom w:val="none" w:sz="0" w:space="0" w:color="auto"/>
            <w:right w:val="none" w:sz="0" w:space="0" w:color="auto"/>
          </w:divBdr>
        </w:div>
      </w:divsChild>
    </w:div>
    <w:div w:id="1136290140">
      <w:bodyDiv w:val="1"/>
      <w:marLeft w:val="0"/>
      <w:marRight w:val="0"/>
      <w:marTop w:val="0"/>
      <w:marBottom w:val="0"/>
      <w:divBdr>
        <w:top w:val="none" w:sz="0" w:space="0" w:color="auto"/>
        <w:left w:val="none" w:sz="0" w:space="0" w:color="auto"/>
        <w:bottom w:val="none" w:sz="0" w:space="0" w:color="auto"/>
        <w:right w:val="none" w:sz="0" w:space="0" w:color="auto"/>
      </w:divBdr>
    </w:div>
    <w:div w:id="1174078059">
      <w:bodyDiv w:val="1"/>
      <w:marLeft w:val="0"/>
      <w:marRight w:val="0"/>
      <w:marTop w:val="0"/>
      <w:marBottom w:val="0"/>
      <w:divBdr>
        <w:top w:val="none" w:sz="0" w:space="0" w:color="auto"/>
        <w:left w:val="none" w:sz="0" w:space="0" w:color="auto"/>
        <w:bottom w:val="none" w:sz="0" w:space="0" w:color="auto"/>
        <w:right w:val="none" w:sz="0" w:space="0" w:color="auto"/>
      </w:divBdr>
    </w:div>
    <w:div w:id="1195192213">
      <w:bodyDiv w:val="1"/>
      <w:marLeft w:val="0"/>
      <w:marRight w:val="0"/>
      <w:marTop w:val="0"/>
      <w:marBottom w:val="0"/>
      <w:divBdr>
        <w:top w:val="none" w:sz="0" w:space="0" w:color="auto"/>
        <w:left w:val="none" w:sz="0" w:space="0" w:color="auto"/>
        <w:bottom w:val="none" w:sz="0" w:space="0" w:color="auto"/>
        <w:right w:val="none" w:sz="0" w:space="0" w:color="auto"/>
      </w:divBdr>
      <w:divsChild>
        <w:div w:id="1037504477">
          <w:marLeft w:val="0"/>
          <w:marRight w:val="0"/>
          <w:marTop w:val="0"/>
          <w:marBottom w:val="0"/>
          <w:divBdr>
            <w:top w:val="none" w:sz="0" w:space="0" w:color="auto"/>
            <w:left w:val="none" w:sz="0" w:space="0" w:color="auto"/>
            <w:bottom w:val="none" w:sz="0" w:space="0" w:color="auto"/>
            <w:right w:val="none" w:sz="0" w:space="0" w:color="auto"/>
          </w:divBdr>
        </w:div>
      </w:divsChild>
    </w:div>
    <w:div w:id="1208832104">
      <w:bodyDiv w:val="1"/>
      <w:marLeft w:val="0"/>
      <w:marRight w:val="0"/>
      <w:marTop w:val="0"/>
      <w:marBottom w:val="0"/>
      <w:divBdr>
        <w:top w:val="none" w:sz="0" w:space="0" w:color="auto"/>
        <w:left w:val="none" w:sz="0" w:space="0" w:color="auto"/>
        <w:bottom w:val="none" w:sz="0" w:space="0" w:color="auto"/>
        <w:right w:val="none" w:sz="0" w:space="0" w:color="auto"/>
      </w:divBdr>
    </w:div>
    <w:div w:id="1210727938">
      <w:bodyDiv w:val="1"/>
      <w:marLeft w:val="0"/>
      <w:marRight w:val="0"/>
      <w:marTop w:val="0"/>
      <w:marBottom w:val="0"/>
      <w:divBdr>
        <w:top w:val="none" w:sz="0" w:space="0" w:color="auto"/>
        <w:left w:val="none" w:sz="0" w:space="0" w:color="auto"/>
        <w:bottom w:val="none" w:sz="0" w:space="0" w:color="auto"/>
        <w:right w:val="none" w:sz="0" w:space="0" w:color="auto"/>
      </w:divBdr>
      <w:divsChild>
        <w:div w:id="973750762">
          <w:marLeft w:val="0"/>
          <w:marRight w:val="0"/>
          <w:marTop w:val="0"/>
          <w:marBottom w:val="0"/>
          <w:divBdr>
            <w:top w:val="none" w:sz="0" w:space="0" w:color="auto"/>
            <w:left w:val="none" w:sz="0" w:space="0" w:color="auto"/>
            <w:bottom w:val="none" w:sz="0" w:space="0" w:color="auto"/>
            <w:right w:val="none" w:sz="0" w:space="0" w:color="auto"/>
          </w:divBdr>
        </w:div>
      </w:divsChild>
    </w:div>
    <w:div w:id="1232159908">
      <w:bodyDiv w:val="1"/>
      <w:marLeft w:val="0"/>
      <w:marRight w:val="0"/>
      <w:marTop w:val="0"/>
      <w:marBottom w:val="0"/>
      <w:divBdr>
        <w:top w:val="none" w:sz="0" w:space="0" w:color="auto"/>
        <w:left w:val="none" w:sz="0" w:space="0" w:color="auto"/>
        <w:bottom w:val="none" w:sz="0" w:space="0" w:color="auto"/>
        <w:right w:val="none" w:sz="0" w:space="0" w:color="auto"/>
      </w:divBdr>
    </w:div>
    <w:div w:id="1247306165">
      <w:bodyDiv w:val="1"/>
      <w:marLeft w:val="0"/>
      <w:marRight w:val="0"/>
      <w:marTop w:val="0"/>
      <w:marBottom w:val="0"/>
      <w:divBdr>
        <w:top w:val="none" w:sz="0" w:space="0" w:color="auto"/>
        <w:left w:val="none" w:sz="0" w:space="0" w:color="auto"/>
        <w:bottom w:val="none" w:sz="0" w:space="0" w:color="auto"/>
        <w:right w:val="none" w:sz="0" w:space="0" w:color="auto"/>
      </w:divBdr>
    </w:div>
    <w:div w:id="1254976427">
      <w:bodyDiv w:val="1"/>
      <w:marLeft w:val="0"/>
      <w:marRight w:val="0"/>
      <w:marTop w:val="0"/>
      <w:marBottom w:val="0"/>
      <w:divBdr>
        <w:top w:val="none" w:sz="0" w:space="0" w:color="auto"/>
        <w:left w:val="none" w:sz="0" w:space="0" w:color="auto"/>
        <w:bottom w:val="none" w:sz="0" w:space="0" w:color="auto"/>
        <w:right w:val="none" w:sz="0" w:space="0" w:color="auto"/>
      </w:divBdr>
    </w:div>
    <w:div w:id="1266772122">
      <w:bodyDiv w:val="1"/>
      <w:marLeft w:val="0"/>
      <w:marRight w:val="0"/>
      <w:marTop w:val="0"/>
      <w:marBottom w:val="0"/>
      <w:divBdr>
        <w:top w:val="none" w:sz="0" w:space="0" w:color="auto"/>
        <w:left w:val="none" w:sz="0" w:space="0" w:color="auto"/>
        <w:bottom w:val="none" w:sz="0" w:space="0" w:color="auto"/>
        <w:right w:val="none" w:sz="0" w:space="0" w:color="auto"/>
      </w:divBdr>
      <w:divsChild>
        <w:div w:id="466508310">
          <w:marLeft w:val="0"/>
          <w:marRight w:val="0"/>
          <w:marTop w:val="0"/>
          <w:marBottom w:val="0"/>
          <w:divBdr>
            <w:top w:val="none" w:sz="0" w:space="0" w:color="auto"/>
            <w:left w:val="none" w:sz="0" w:space="0" w:color="auto"/>
            <w:bottom w:val="none" w:sz="0" w:space="0" w:color="auto"/>
            <w:right w:val="none" w:sz="0" w:space="0" w:color="auto"/>
          </w:divBdr>
        </w:div>
      </w:divsChild>
    </w:div>
    <w:div w:id="1269895038">
      <w:bodyDiv w:val="1"/>
      <w:marLeft w:val="0"/>
      <w:marRight w:val="0"/>
      <w:marTop w:val="0"/>
      <w:marBottom w:val="0"/>
      <w:divBdr>
        <w:top w:val="none" w:sz="0" w:space="0" w:color="auto"/>
        <w:left w:val="none" w:sz="0" w:space="0" w:color="auto"/>
        <w:bottom w:val="none" w:sz="0" w:space="0" w:color="auto"/>
        <w:right w:val="none" w:sz="0" w:space="0" w:color="auto"/>
      </w:divBdr>
    </w:div>
    <w:div w:id="1299534482">
      <w:bodyDiv w:val="1"/>
      <w:marLeft w:val="0"/>
      <w:marRight w:val="0"/>
      <w:marTop w:val="0"/>
      <w:marBottom w:val="0"/>
      <w:divBdr>
        <w:top w:val="none" w:sz="0" w:space="0" w:color="auto"/>
        <w:left w:val="none" w:sz="0" w:space="0" w:color="auto"/>
        <w:bottom w:val="none" w:sz="0" w:space="0" w:color="auto"/>
        <w:right w:val="none" w:sz="0" w:space="0" w:color="auto"/>
      </w:divBdr>
    </w:div>
    <w:div w:id="1356931427">
      <w:bodyDiv w:val="1"/>
      <w:marLeft w:val="0"/>
      <w:marRight w:val="0"/>
      <w:marTop w:val="0"/>
      <w:marBottom w:val="0"/>
      <w:divBdr>
        <w:top w:val="none" w:sz="0" w:space="0" w:color="auto"/>
        <w:left w:val="none" w:sz="0" w:space="0" w:color="auto"/>
        <w:bottom w:val="none" w:sz="0" w:space="0" w:color="auto"/>
        <w:right w:val="none" w:sz="0" w:space="0" w:color="auto"/>
      </w:divBdr>
    </w:div>
    <w:div w:id="1395202979">
      <w:bodyDiv w:val="1"/>
      <w:marLeft w:val="0"/>
      <w:marRight w:val="0"/>
      <w:marTop w:val="0"/>
      <w:marBottom w:val="0"/>
      <w:divBdr>
        <w:top w:val="none" w:sz="0" w:space="0" w:color="auto"/>
        <w:left w:val="none" w:sz="0" w:space="0" w:color="auto"/>
        <w:bottom w:val="none" w:sz="0" w:space="0" w:color="auto"/>
        <w:right w:val="none" w:sz="0" w:space="0" w:color="auto"/>
      </w:divBdr>
    </w:div>
    <w:div w:id="1404571851">
      <w:bodyDiv w:val="1"/>
      <w:marLeft w:val="0"/>
      <w:marRight w:val="0"/>
      <w:marTop w:val="0"/>
      <w:marBottom w:val="0"/>
      <w:divBdr>
        <w:top w:val="none" w:sz="0" w:space="0" w:color="auto"/>
        <w:left w:val="none" w:sz="0" w:space="0" w:color="auto"/>
        <w:bottom w:val="none" w:sz="0" w:space="0" w:color="auto"/>
        <w:right w:val="none" w:sz="0" w:space="0" w:color="auto"/>
      </w:divBdr>
    </w:div>
    <w:div w:id="1493908341">
      <w:bodyDiv w:val="1"/>
      <w:marLeft w:val="0"/>
      <w:marRight w:val="0"/>
      <w:marTop w:val="0"/>
      <w:marBottom w:val="0"/>
      <w:divBdr>
        <w:top w:val="none" w:sz="0" w:space="0" w:color="auto"/>
        <w:left w:val="none" w:sz="0" w:space="0" w:color="auto"/>
        <w:bottom w:val="none" w:sz="0" w:space="0" w:color="auto"/>
        <w:right w:val="none" w:sz="0" w:space="0" w:color="auto"/>
      </w:divBdr>
      <w:divsChild>
        <w:div w:id="1618296936">
          <w:marLeft w:val="0"/>
          <w:marRight w:val="0"/>
          <w:marTop w:val="0"/>
          <w:marBottom w:val="0"/>
          <w:divBdr>
            <w:top w:val="none" w:sz="0" w:space="0" w:color="auto"/>
            <w:left w:val="none" w:sz="0" w:space="0" w:color="auto"/>
            <w:bottom w:val="none" w:sz="0" w:space="0" w:color="auto"/>
            <w:right w:val="none" w:sz="0" w:space="0" w:color="auto"/>
          </w:divBdr>
        </w:div>
      </w:divsChild>
    </w:div>
    <w:div w:id="1506751123">
      <w:bodyDiv w:val="1"/>
      <w:marLeft w:val="0"/>
      <w:marRight w:val="0"/>
      <w:marTop w:val="0"/>
      <w:marBottom w:val="0"/>
      <w:divBdr>
        <w:top w:val="none" w:sz="0" w:space="0" w:color="auto"/>
        <w:left w:val="none" w:sz="0" w:space="0" w:color="auto"/>
        <w:bottom w:val="none" w:sz="0" w:space="0" w:color="auto"/>
        <w:right w:val="none" w:sz="0" w:space="0" w:color="auto"/>
      </w:divBdr>
    </w:div>
    <w:div w:id="1507550680">
      <w:bodyDiv w:val="1"/>
      <w:marLeft w:val="0"/>
      <w:marRight w:val="0"/>
      <w:marTop w:val="0"/>
      <w:marBottom w:val="0"/>
      <w:divBdr>
        <w:top w:val="none" w:sz="0" w:space="0" w:color="auto"/>
        <w:left w:val="none" w:sz="0" w:space="0" w:color="auto"/>
        <w:bottom w:val="none" w:sz="0" w:space="0" w:color="auto"/>
        <w:right w:val="none" w:sz="0" w:space="0" w:color="auto"/>
      </w:divBdr>
    </w:div>
    <w:div w:id="1548177047">
      <w:bodyDiv w:val="1"/>
      <w:marLeft w:val="0"/>
      <w:marRight w:val="0"/>
      <w:marTop w:val="0"/>
      <w:marBottom w:val="0"/>
      <w:divBdr>
        <w:top w:val="none" w:sz="0" w:space="0" w:color="auto"/>
        <w:left w:val="none" w:sz="0" w:space="0" w:color="auto"/>
        <w:bottom w:val="none" w:sz="0" w:space="0" w:color="auto"/>
        <w:right w:val="none" w:sz="0" w:space="0" w:color="auto"/>
      </w:divBdr>
      <w:divsChild>
        <w:div w:id="535973713">
          <w:marLeft w:val="0"/>
          <w:marRight w:val="0"/>
          <w:marTop w:val="0"/>
          <w:marBottom w:val="0"/>
          <w:divBdr>
            <w:top w:val="none" w:sz="0" w:space="0" w:color="auto"/>
            <w:left w:val="none" w:sz="0" w:space="0" w:color="auto"/>
            <w:bottom w:val="none" w:sz="0" w:space="0" w:color="auto"/>
            <w:right w:val="none" w:sz="0" w:space="0" w:color="auto"/>
          </w:divBdr>
        </w:div>
      </w:divsChild>
    </w:div>
    <w:div w:id="1609005772">
      <w:bodyDiv w:val="1"/>
      <w:marLeft w:val="0"/>
      <w:marRight w:val="0"/>
      <w:marTop w:val="0"/>
      <w:marBottom w:val="0"/>
      <w:divBdr>
        <w:top w:val="none" w:sz="0" w:space="0" w:color="auto"/>
        <w:left w:val="none" w:sz="0" w:space="0" w:color="auto"/>
        <w:bottom w:val="none" w:sz="0" w:space="0" w:color="auto"/>
        <w:right w:val="none" w:sz="0" w:space="0" w:color="auto"/>
      </w:divBdr>
    </w:div>
    <w:div w:id="1614363220">
      <w:bodyDiv w:val="1"/>
      <w:marLeft w:val="0"/>
      <w:marRight w:val="0"/>
      <w:marTop w:val="0"/>
      <w:marBottom w:val="0"/>
      <w:divBdr>
        <w:top w:val="none" w:sz="0" w:space="0" w:color="auto"/>
        <w:left w:val="none" w:sz="0" w:space="0" w:color="auto"/>
        <w:bottom w:val="none" w:sz="0" w:space="0" w:color="auto"/>
        <w:right w:val="none" w:sz="0" w:space="0" w:color="auto"/>
      </w:divBdr>
    </w:div>
    <w:div w:id="1630360427">
      <w:bodyDiv w:val="1"/>
      <w:marLeft w:val="0"/>
      <w:marRight w:val="0"/>
      <w:marTop w:val="0"/>
      <w:marBottom w:val="0"/>
      <w:divBdr>
        <w:top w:val="none" w:sz="0" w:space="0" w:color="auto"/>
        <w:left w:val="none" w:sz="0" w:space="0" w:color="auto"/>
        <w:bottom w:val="none" w:sz="0" w:space="0" w:color="auto"/>
        <w:right w:val="none" w:sz="0" w:space="0" w:color="auto"/>
      </w:divBdr>
    </w:div>
    <w:div w:id="1653866818">
      <w:bodyDiv w:val="1"/>
      <w:marLeft w:val="0"/>
      <w:marRight w:val="0"/>
      <w:marTop w:val="0"/>
      <w:marBottom w:val="0"/>
      <w:divBdr>
        <w:top w:val="none" w:sz="0" w:space="0" w:color="auto"/>
        <w:left w:val="none" w:sz="0" w:space="0" w:color="auto"/>
        <w:bottom w:val="none" w:sz="0" w:space="0" w:color="auto"/>
        <w:right w:val="none" w:sz="0" w:space="0" w:color="auto"/>
      </w:divBdr>
    </w:div>
    <w:div w:id="1687169723">
      <w:bodyDiv w:val="1"/>
      <w:marLeft w:val="0"/>
      <w:marRight w:val="0"/>
      <w:marTop w:val="0"/>
      <w:marBottom w:val="0"/>
      <w:divBdr>
        <w:top w:val="none" w:sz="0" w:space="0" w:color="auto"/>
        <w:left w:val="none" w:sz="0" w:space="0" w:color="auto"/>
        <w:bottom w:val="none" w:sz="0" w:space="0" w:color="auto"/>
        <w:right w:val="none" w:sz="0" w:space="0" w:color="auto"/>
      </w:divBdr>
    </w:div>
    <w:div w:id="1701587591">
      <w:bodyDiv w:val="1"/>
      <w:marLeft w:val="0"/>
      <w:marRight w:val="0"/>
      <w:marTop w:val="0"/>
      <w:marBottom w:val="0"/>
      <w:divBdr>
        <w:top w:val="none" w:sz="0" w:space="0" w:color="auto"/>
        <w:left w:val="none" w:sz="0" w:space="0" w:color="auto"/>
        <w:bottom w:val="none" w:sz="0" w:space="0" w:color="auto"/>
        <w:right w:val="none" w:sz="0" w:space="0" w:color="auto"/>
      </w:divBdr>
    </w:div>
    <w:div w:id="1723944806">
      <w:bodyDiv w:val="1"/>
      <w:marLeft w:val="0"/>
      <w:marRight w:val="0"/>
      <w:marTop w:val="0"/>
      <w:marBottom w:val="0"/>
      <w:divBdr>
        <w:top w:val="none" w:sz="0" w:space="0" w:color="auto"/>
        <w:left w:val="none" w:sz="0" w:space="0" w:color="auto"/>
        <w:bottom w:val="none" w:sz="0" w:space="0" w:color="auto"/>
        <w:right w:val="none" w:sz="0" w:space="0" w:color="auto"/>
      </w:divBdr>
    </w:div>
    <w:div w:id="1775664532">
      <w:bodyDiv w:val="1"/>
      <w:marLeft w:val="0"/>
      <w:marRight w:val="0"/>
      <w:marTop w:val="0"/>
      <w:marBottom w:val="0"/>
      <w:divBdr>
        <w:top w:val="none" w:sz="0" w:space="0" w:color="auto"/>
        <w:left w:val="none" w:sz="0" w:space="0" w:color="auto"/>
        <w:bottom w:val="none" w:sz="0" w:space="0" w:color="auto"/>
        <w:right w:val="none" w:sz="0" w:space="0" w:color="auto"/>
      </w:divBdr>
    </w:div>
    <w:div w:id="1782259350">
      <w:bodyDiv w:val="1"/>
      <w:marLeft w:val="0"/>
      <w:marRight w:val="0"/>
      <w:marTop w:val="0"/>
      <w:marBottom w:val="0"/>
      <w:divBdr>
        <w:top w:val="none" w:sz="0" w:space="0" w:color="auto"/>
        <w:left w:val="none" w:sz="0" w:space="0" w:color="auto"/>
        <w:bottom w:val="none" w:sz="0" w:space="0" w:color="auto"/>
        <w:right w:val="none" w:sz="0" w:space="0" w:color="auto"/>
      </w:divBdr>
    </w:div>
    <w:div w:id="1793160430">
      <w:bodyDiv w:val="1"/>
      <w:marLeft w:val="0"/>
      <w:marRight w:val="0"/>
      <w:marTop w:val="0"/>
      <w:marBottom w:val="0"/>
      <w:divBdr>
        <w:top w:val="none" w:sz="0" w:space="0" w:color="auto"/>
        <w:left w:val="none" w:sz="0" w:space="0" w:color="auto"/>
        <w:bottom w:val="none" w:sz="0" w:space="0" w:color="auto"/>
        <w:right w:val="none" w:sz="0" w:space="0" w:color="auto"/>
      </w:divBdr>
    </w:div>
    <w:div w:id="1838883373">
      <w:bodyDiv w:val="1"/>
      <w:marLeft w:val="0"/>
      <w:marRight w:val="0"/>
      <w:marTop w:val="0"/>
      <w:marBottom w:val="0"/>
      <w:divBdr>
        <w:top w:val="none" w:sz="0" w:space="0" w:color="auto"/>
        <w:left w:val="none" w:sz="0" w:space="0" w:color="auto"/>
        <w:bottom w:val="none" w:sz="0" w:space="0" w:color="auto"/>
        <w:right w:val="none" w:sz="0" w:space="0" w:color="auto"/>
      </w:divBdr>
    </w:div>
    <w:div w:id="1852376683">
      <w:bodyDiv w:val="1"/>
      <w:marLeft w:val="0"/>
      <w:marRight w:val="0"/>
      <w:marTop w:val="0"/>
      <w:marBottom w:val="0"/>
      <w:divBdr>
        <w:top w:val="none" w:sz="0" w:space="0" w:color="auto"/>
        <w:left w:val="none" w:sz="0" w:space="0" w:color="auto"/>
        <w:bottom w:val="none" w:sz="0" w:space="0" w:color="auto"/>
        <w:right w:val="none" w:sz="0" w:space="0" w:color="auto"/>
      </w:divBdr>
    </w:div>
    <w:div w:id="1853952575">
      <w:bodyDiv w:val="1"/>
      <w:marLeft w:val="0"/>
      <w:marRight w:val="0"/>
      <w:marTop w:val="0"/>
      <w:marBottom w:val="0"/>
      <w:divBdr>
        <w:top w:val="none" w:sz="0" w:space="0" w:color="auto"/>
        <w:left w:val="none" w:sz="0" w:space="0" w:color="auto"/>
        <w:bottom w:val="none" w:sz="0" w:space="0" w:color="auto"/>
        <w:right w:val="none" w:sz="0" w:space="0" w:color="auto"/>
      </w:divBdr>
    </w:div>
    <w:div w:id="1869491504">
      <w:bodyDiv w:val="1"/>
      <w:marLeft w:val="0"/>
      <w:marRight w:val="0"/>
      <w:marTop w:val="0"/>
      <w:marBottom w:val="0"/>
      <w:divBdr>
        <w:top w:val="none" w:sz="0" w:space="0" w:color="auto"/>
        <w:left w:val="none" w:sz="0" w:space="0" w:color="auto"/>
        <w:bottom w:val="none" w:sz="0" w:space="0" w:color="auto"/>
        <w:right w:val="none" w:sz="0" w:space="0" w:color="auto"/>
      </w:divBdr>
    </w:div>
    <w:div w:id="1903828950">
      <w:bodyDiv w:val="1"/>
      <w:marLeft w:val="0"/>
      <w:marRight w:val="0"/>
      <w:marTop w:val="0"/>
      <w:marBottom w:val="0"/>
      <w:divBdr>
        <w:top w:val="none" w:sz="0" w:space="0" w:color="auto"/>
        <w:left w:val="none" w:sz="0" w:space="0" w:color="auto"/>
        <w:bottom w:val="none" w:sz="0" w:space="0" w:color="auto"/>
        <w:right w:val="none" w:sz="0" w:space="0" w:color="auto"/>
      </w:divBdr>
    </w:div>
    <w:div w:id="1996495714">
      <w:bodyDiv w:val="1"/>
      <w:marLeft w:val="0"/>
      <w:marRight w:val="0"/>
      <w:marTop w:val="0"/>
      <w:marBottom w:val="0"/>
      <w:divBdr>
        <w:top w:val="none" w:sz="0" w:space="0" w:color="auto"/>
        <w:left w:val="none" w:sz="0" w:space="0" w:color="auto"/>
        <w:bottom w:val="none" w:sz="0" w:space="0" w:color="auto"/>
        <w:right w:val="none" w:sz="0" w:space="0" w:color="auto"/>
      </w:divBdr>
    </w:div>
    <w:div w:id="2019766808">
      <w:bodyDiv w:val="1"/>
      <w:marLeft w:val="0"/>
      <w:marRight w:val="0"/>
      <w:marTop w:val="0"/>
      <w:marBottom w:val="0"/>
      <w:divBdr>
        <w:top w:val="none" w:sz="0" w:space="0" w:color="auto"/>
        <w:left w:val="none" w:sz="0" w:space="0" w:color="auto"/>
        <w:bottom w:val="none" w:sz="0" w:space="0" w:color="auto"/>
        <w:right w:val="none" w:sz="0" w:space="0" w:color="auto"/>
      </w:divBdr>
    </w:div>
    <w:div w:id="2050835499">
      <w:bodyDiv w:val="1"/>
      <w:marLeft w:val="0"/>
      <w:marRight w:val="0"/>
      <w:marTop w:val="0"/>
      <w:marBottom w:val="0"/>
      <w:divBdr>
        <w:top w:val="none" w:sz="0" w:space="0" w:color="auto"/>
        <w:left w:val="none" w:sz="0" w:space="0" w:color="auto"/>
        <w:bottom w:val="none" w:sz="0" w:space="0" w:color="auto"/>
        <w:right w:val="none" w:sz="0" w:space="0" w:color="auto"/>
      </w:divBdr>
    </w:div>
    <w:div w:id="2115861695">
      <w:bodyDiv w:val="1"/>
      <w:marLeft w:val="0"/>
      <w:marRight w:val="0"/>
      <w:marTop w:val="0"/>
      <w:marBottom w:val="0"/>
      <w:divBdr>
        <w:top w:val="none" w:sz="0" w:space="0" w:color="auto"/>
        <w:left w:val="none" w:sz="0" w:space="0" w:color="auto"/>
        <w:bottom w:val="none" w:sz="0" w:space="0" w:color="auto"/>
        <w:right w:val="none" w:sz="0" w:space="0" w:color="auto"/>
      </w:divBdr>
    </w:div>
    <w:div w:id="2116244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kryeministria.al/newsroom/vendime-te-miratuara-ne-mbledhjen-e-keshillit-te-ministrave-date-5-prill-2023/" TargetMode="External"/><Relationship Id="rId3" Type="http://schemas.openxmlformats.org/officeDocument/2006/relationships/hyperlink" Target="https://www.kryeministria.al/newsroom/vendime-te-miratuara-ne-mbledhjen-e-keshillit-te-ministrave-date-6-tetor-2021/" TargetMode="External"/><Relationship Id="rId7" Type="http://schemas.openxmlformats.org/officeDocument/2006/relationships/hyperlink" Target="https://www.infrastruktura.gov.al/wp-content/uploads/2024/07/urdher-2022-10-25-206.pdf" TargetMode="External"/><Relationship Id="rId2" Type="http://schemas.openxmlformats.org/officeDocument/2006/relationships/hyperlink" Target="https://www.kryeministria.al/newsroom/vendime-te-miratuara-ne-mbledhjen-e-dates-16-shtator-2015/" TargetMode="External"/><Relationship Id="rId1" Type="http://schemas.openxmlformats.org/officeDocument/2006/relationships/hyperlink" Target="https://turizmi.gov.al/Akte%20Rregullatore/" TargetMode="External"/><Relationship Id="rId6" Type="http://schemas.openxmlformats.org/officeDocument/2006/relationships/hyperlink" Target="https://www.infrastruktura.gov.al/wp-content/uploads/2024/07/urdher-2022-10-18-203.pdf" TargetMode="External"/><Relationship Id="rId11" Type="http://schemas.openxmlformats.org/officeDocument/2006/relationships/hyperlink" Target="https://turizmi.gov.al/wp-content/uploads/2021/10/2.-Strategjia-e-Ndryshimeve-Klimatike-dhe-Planet-e-Veprimit_Qershor-2019_-1.pdf" TargetMode="External"/><Relationship Id="rId5" Type="http://schemas.openxmlformats.org/officeDocument/2006/relationships/hyperlink" Target="https://qbz.gov.al/eli/vendim/2023/02/22/88/59519cb2-2180-4e7e-9d91-68545a68e008" TargetMode="External"/><Relationship Id="rId10" Type="http://schemas.openxmlformats.org/officeDocument/2006/relationships/hyperlink" Target="https://turizmi.gov.al/wp-content/uploads/2019/07/vkm-814-2019-per-pyjet-ne-Shqiperi.pdf" TargetMode="External"/><Relationship Id="rId4" Type="http://schemas.openxmlformats.org/officeDocument/2006/relationships/hyperlink" Target="https://www.infrastruktura.gov.al/wp-content/uploads/2024/07/VENDIM-872-dat-29-12-2021-1.pdf" TargetMode="External"/><Relationship Id="rId9" Type="http://schemas.openxmlformats.org/officeDocument/2006/relationships/hyperlink" Target="https://bujqesia.gov.al/wp-content/uploads/2023/03/Vendim-2022-06-29-4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e6fd1a-3d29-40b4-b5ce-4d0272931c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AEC9C31FDB344E9256D4E295DA4346" ma:contentTypeVersion="9" ma:contentTypeDescription="Ein neues Dokument erstellen." ma:contentTypeScope="" ma:versionID="0009e0dde72606843b411cad3572bf4a">
  <xsd:schema xmlns:xsd="http://www.w3.org/2001/XMLSchema" xmlns:xs="http://www.w3.org/2001/XMLSchema" xmlns:p="http://schemas.microsoft.com/office/2006/metadata/properties" xmlns:ns2="67e6fd1a-3d29-40b4-b5ce-4d0272931c58" targetNamespace="http://schemas.microsoft.com/office/2006/metadata/properties" ma:root="true" ma:fieldsID="a0b6c5a3bef98400d818347e92a164c4" ns2:_="">
    <xsd:import namespace="67e6fd1a-3d29-40b4-b5ce-4d0272931c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6fd1a-3d29-40b4-b5ce-4d0272931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747bd08-d6a3-4aef-ac02-065dcdc953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26151-5546-4A8B-A57E-C125D1C3A408}">
  <ds:schemaRefs>
    <ds:schemaRef ds:uri="http://schemas.microsoft.com/office/2006/metadata/properties"/>
    <ds:schemaRef ds:uri="http://schemas.microsoft.com/office/infopath/2007/PartnerControls"/>
    <ds:schemaRef ds:uri="67e6fd1a-3d29-40b4-b5ce-4d0272931c58"/>
  </ds:schemaRefs>
</ds:datastoreItem>
</file>

<file path=customXml/itemProps2.xml><?xml version="1.0" encoding="utf-8"?>
<ds:datastoreItem xmlns:ds="http://schemas.openxmlformats.org/officeDocument/2006/customXml" ds:itemID="{4653BB69-8692-47CA-A0AC-2641C990B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6fd1a-3d29-40b4-b5ce-4d027293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2751C-933A-42D7-800E-06D87D7E7DC5}">
  <ds:schemaRefs>
    <ds:schemaRef ds:uri="http://schemas.openxmlformats.org/officeDocument/2006/bibliography"/>
  </ds:schemaRefs>
</ds:datastoreItem>
</file>

<file path=customXml/itemProps4.xml><?xml version="1.0" encoding="utf-8"?>
<ds:datastoreItem xmlns:ds="http://schemas.openxmlformats.org/officeDocument/2006/customXml" ds:itemID="{39E2417C-44D4-4D35-8BF7-A5CA6AE56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24051</Words>
  <Characters>137093</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Propozim për mbështetje teknike - Faza II e EAD-së për ndryshimet klimatike</vt:lpstr>
    </vt:vector>
  </TitlesOfParts>
  <Company>Grupi kërkimor i ndryshimeve klimatike</Company>
  <LinksUpToDate>false</LinksUpToDate>
  <CharactersWithSpaces>160823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Propozim për mbështetje teknike - Faza II e EAD-së për ndryshimet klimatike</dc:title>
  <dc:creator>ιωάννης</dc:creator>
  <cp:lastModifiedBy>Hakani, Lira GIZ AL</cp:lastModifiedBy>
  <cp:revision>2</cp:revision>
  <cp:lastPrinted>2025-07-13T09:07:00Z</cp:lastPrinted>
  <dcterms:created xsi:type="dcterms:W3CDTF">2025-12-16T11:02:00Z</dcterms:created>
  <dcterms:modified xsi:type="dcterms:W3CDTF">2025-12-16T11:02:00Z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1f37e3c595da90d34038ac034ba77f751c7be756fc1210c3d175e58ed97a1a2f</vt:lpwstr>
  </property>
  <property fmtid="{D5CDD505-2E9C-101B-9397-08002B2CF9AE}" pid="3" name="ContentTypeId">
    <vt:lpwstr>0x01010020AEC9C31FDB344E9256D4E295DA4346</vt:lpwstr>
  </property>
  <property fmtid="{D5CDD505-2E9C-101B-9397-08002B2CF9AE}" pid="4" name="MediaServiceImageTags">
    <vt:lpwstr/>
  </property>
</Properties>
</file>