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5C63B4" w:rsidRDefault="00902467" w:rsidP="00D54A64">
      <w:pPr>
        <w:pStyle w:val="Heading2"/>
        <w:spacing w:after="0"/>
        <w:jc w:val="center"/>
        <w:rPr>
          <w:rFonts w:ascii="Times New Roman" w:hAnsi="Times New Roman"/>
          <w:i w:val="0"/>
          <w:iCs/>
          <w:sz w:val="28"/>
          <w:szCs w:val="28"/>
          <w:lang w:val="sq-AL"/>
        </w:rPr>
      </w:pPr>
    </w:p>
    <w:p w14:paraId="6A1FDD1F" w14:textId="77F51403" w:rsidR="008675CA" w:rsidRPr="005C63B4" w:rsidRDefault="00D61801" w:rsidP="00D54A64">
      <w:pPr>
        <w:pStyle w:val="Heading2"/>
        <w:spacing w:after="0"/>
        <w:jc w:val="center"/>
        <w:rPr>
          <w:rFonts w:ascii="Times New Roman" w:hAnsi="Times New Roman"/>
          <w:i w:val="0"/>
          <w:iCs/>
          <w:sz w:val="28"/>
          <w:szCs w:val="28"/>
          <w:lang w:val="sq-AL"/>
        </w:rPr>
      </w:pPr>
      <w:r w:rsidRPr="005C63B4">
        <w:rPr>
          <w:rFonts w:ascii="Times New Roman" w:hAnsi="Times New Roman"/>
          <w:i w:val="0"/>
          <w:iCs/>
          <w:sz w:val="28"/>
          <w:szCs w:val="28"/>
          <w:lang w:val="sq-AL"/>
        </w:rPr>
        <w:t xml:space="preserve">DOKUMENTI </w:t>
      </w:r>
      <w:r w:rsidR="00E54C97" w:rsidRPr="005C63B4">
        <w:rPr>
          <w:rFonts w:ascii="Times New Roman" w:hAnsi="Times New Roman"/>
          <w:i w:val="0"/>
          <w:iCs/>
          <w:sz w:val="28"/>
          <w:szCs w:val="28"/>
          <w:lang w:val="sq-AL"/>
        </w:rPr>
        <w:t>KONSULTATIV</w:t>
      </w:r>
    </w:p>
    <w:p w14:paraId="747EF8DB" w14:textId="77777777" w:rsidR="007817F3" w:rsidRPr="005C63B4" w:rsidRDefault="007817F3" w:rsidP="00D54A64">
      <w:pPr>
        <w:rPr>
          <w:rFonts w:ascii="Times New Roman" w:hAnsi="Times New Roman"/>
          <w:sz w:val="28"/>
          <w:szCs w:val="28"/>
          <w:lang w:val="sq-AL"/>
        </w:rPr>
      </w:pPr>
    </w:p>
    <w:p w14:paraId="3838CAAE" w14:textId="75C451BF" w:rsidR="003C4ADD" w:rsidRDefault="00457BA0" w:rsidP="003C4ADD">
      <w:pPr>
        <w:pStyle w:val="NoSpacing"/>
        <w:jc w:val="center"/>
        <w:rPr>
          <w:rFonts w:ascii="Times New Roman" w:hAnsi="Times New Roman"/>
          <w:b/>
          <w:sz w:val="28"/>
          <w:szCs w:val="28"/>
        </w:rPr>
      </w:pPr>
      <w:r w:rsidRPr="005C63B4">
        <w:rPr>
          <w:rFonts w:ascii="Times New Roman" w:hAnsi="Times New Roman"/>
          <w:b/>
          <w:sz w:val="28"/>
          <w:szCs w:val="28"/>
        </w:rPr>
        <w:t>Për projektligjin</w:t>
      </w:r>
      <w:r w:rsidR="006A70F7">
        <w:rPr>
          <w:rFonts w:ascii="Times New Roman" w:hAnsi="Times New Roman"/>
          <w:b/>
          <w:sz w:val="28"/>
          <w:szCs w:val="28"/>
        </w:rPr>
        <w:t>:</w:t>
      </w:r>
    </w:p>
    <w:p w14:paraId="4DC25C52" w14:textId="262D5596" w:rsidR="007B25CB" w:rsidRPr="005C63B4" w:rsidRDefault="005942E3" w:rsidP="00D54A64">
      <w:pPr>
        <w:pStyle w:val="NoSpacing"/>
        <w:jc w:val="center"/>
        <w:rPr>
          <w:rFonts w:ascii="Times New Roman" w:hAnsi="Times New Roman"/>
          <w:b/>
          <w:bCs/>
          <w:i/>
          <w:iCs/>
          <w:sz w:val="28"/>
          <w:szCs w:val="28"/>
        </w:rPr>
      </w:pPr>
      <w:r w:rsidRPr="005C63B4">
        <w:rPr>
          <w:rFonts w:ascii="Times New Roman" w:hAnsi="Times New Roman"/>
          <w:b/>
          <w:bCs/>
          <w:sz w:val="28"/>
          <w:szCs w:val="28"/>
          <w:lang w:val="de-DE"/>
        </w:rPr>
        <w:t>“Për sektorin e energjisë elektrike</w:t>
      </w:r>
      <w:r w:rsidR="00C87D70" w:rsidRPr="005C63B4">
        <w:rPr>
          <w:rFonts w:ascii="Times New Roman" w:hAnsi="Times New Roman"/>
          <w:b/>
          <w:bCs/>
          <w:sz w:val="28"/>
          <w:szCs w:val="28"/>
        </w:rPr>
        <w:t>”</w:t>
      </w:r>
    </w:p>
    <w:p w14:paraId="679FD58F" w14:textId="345C8597" w:rsidR="00163AAF" w:rsidRPr="005C63B4" w:rsidRDefault="00163AAF" w:rsidP="00D54A64">
      <w:pPr>
        <w:pStyle w:val="NoSpacing"/>
        <w:jc w:val="both"/>
        <w:rPr>
          <w:rFonts w:ascii="Times New Roman" w:hAnsi="Times New Roman"/>
          <w:b/>
          <w:bCs/>
          <w:sz w:val="28"/>
          <w:szCs w:val="28"/>
        </w:rPr>
      </w:pPr>
    </w:p>
    <w:p w14:paraId="364F00E7" w14:textId="77777777" w:rsidR="009C2E02" w:rsidRPr="005C63B4" w:rsidRDefault="009C2E02" w:rsidP="00D54A64">
      <w:pPr>
        <w:pStyle w:val="BodyText"/>
        <w:spacing w:after="0"/>
        <w:rPr>
          <w:rFonts w:ascii="Times New Roman" w:hAnsi="Times New Roman"/>
          <w:b/>
          <w:sz w:val="28"/>
          <w:szCs w:val="28"/>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3BF55563" w14:textId="77777777" w:rsidTr="00957E1F">
        <w:tc>
          <w:tcPr>
            <w:tcW w:w="9212" w:type="dxa"/>
          </w:tcPr>
          <w:p w14:paraId="310C5FA8" w14:textId="4B478C01" w:rsidR="001E4573" w:rsidRPr="005C63B4" w:rsidRDefault="00B87EE9" w:rsidP="00D54A64">
            <w:pPr>
              <w:pStyle w:val="NoSpacing"/>
              <w:jc w:val="both"/>
              <w:rPr>
                <w:rFonts w:ascii="Times New Roman" w:hAnsi="Times New Roman"/>
                <w:bCs/>
                <w:iCs/>
                <w:sz w:val="28"/>
                <w:szCs w:val="28"/>
                <w:lang w:bidi="en-US"/>
              </w:rPr>
            </w:pPr>
            <w:r w:rsidRPr="005C63B4">
              <w:rPr>
                <w:rFonts w:ascii="Times New Roman" w:hAnsi="Times New Roman"/>
                <w:sz w:val="28"/>
                <w:szCs w:val="28"/>
              </w:rPr>
              <w:t xml:space="preserve">Ministria e </w:t>
            </w:r>
            <w:r w:rsidR="008F0DBA" w:rsidRPr="005C63B4">
              <w:rPr>
                <w:rFonts w:ascii="Times New Roman" w:hAnsi="Times New Roman"/>
                <w:sz w:val="28"/>
                <w:szCs w:val="28"/>
              </w:rPr>
              <w:t>Infrastrukturës</w:t>
            </w:r>
            <w:r w:rsidR="00647695" w:rsidRPr="005C63B4">
              <w:rPr>
                <w:rFonts w:ascii="Times New Roman" w:hAnsi="Times New Roman"/>
                <w:sz w:val="28"/>
                <w:szCs w:val="28"/>
              </w:rPr>
              <w:t xml:space="preserve"> dhe Energjisë</w:t>
            </w:r>
            <w:r w:rsidRPr="005C63B4">
              <w:rPr>
                <w:rFonts w:ascii="Times New Roman" w:hAnsi="Times New Roman"/>
                <w:sz w:val="28"/>
                <w:szCs w:val="28"/>
              </w:rPr>
              <w:t xml:space="preserve">, në kuadër të procesit të konsultimit </w:t>
            </w:r>
            <w:r w:rsidR="00A05359" w:rsidRPr="005C63B4">
              <w:rPr>
                <w:rFonts w:ascii="Times New Roman" w:hAnsi="Times New Roman"/>
                <w:sz w:val="28"/>
                <w:szCs w:val="28"/>
              </w:rPr>
              <w:t>të projekt</w:t>
            </w:r>
            <w:r w:rsidR="006632E2" w:rsidRPr="005C63B4">
              <w:rPr>
                <w:rFonts w:ascii="Times New Roman" w:hAnsi="Times New Roman"/>
                <w:sz w:val="28"/>
                <w:szCs w:val="28"/>
              </w:rPr>
              <w:t>ligji</w:t>
            </w:r>
            <w:r w:rsidR="000B4ADF" w:rsidRPr="005C63B4">
              <w:rPr>
                <w:rFonts w:ascii="Times New Roman" w:hAnsi="Times New Roman"/>
                <w:sz w:val="28"/>
                <w:szCs w:val="28"/>
              </w:rPr>
              <w:t>t</w:t>
            </w:r>
            <w:r w:rsidR="009713D0" w:rsidRPr="005C63B4">
              <w:rPr>
                <w:rFonts w:ascii="Times New Roman" w:hAnsi="Times New Roman"/>
                <w:b/>
                <w:sz w:val="28"/>
                <w:szCs w:val="28"/>
              </w:rPr>
              <w:t xml:space="preserve"> </w:t>
            </w:r>
            <w:r w:rsidR="00C87D70" w:rsidRPr="005C63B4">
              <w:rPr>
                <w:rFonts w:ascii="Times New Roman" w:hAnsi="Times New Roman"/>
                <w:b/>
                <w:bCs/>
                <w:sz w:val="28"/>
                <w:szCs w:val="28"/>
                <w:lang w:val="de-DE"/>
              </w:rPr>
              <w:t>“Për sektorin e energjisë elektrike</w:t>
            </w:r>
            <w:r w:rsidR="007B25CB" w:rsidRPr="005C63B4">
              <w:rPr>
                <w:rFonts w:ascii="Times New Roman" w:hAnsi="Times New Roman"/>
                <w:b/>
                <w:bCs/>
                <w:sz w:val="28"/>
                <w:szCs w:val="28"/>
              </w:rPr>
              <w:t>”</w:t>
            </w:r>
            <w:r w:rsidR="007B25CB" w:rsidRPr="005C63B4">
              <w:rPr>
                <w:rFonts w:ascii="Times New Roman" w:hAnsi="Times New Roman"/>
                <w:sz w:val="28"/>
                <w:szCs w:val="28"/>
              </w:rPr>
              <w:t>,</w:t>
            </w:r>
            <w:r w:rsidR="007B25CB" w:rsidRPr="005C63B4">
              <w:rPr>
                <w:rFonts w:ascii="Times New Roman" w:hAnsi="Times New Roman"/>
                <w:b/>
                <w:bCs/>
                <w:sz w:val="28"/>
                <w:szCs w:val="28"/>
                <w:lang w:val="de-DE"/>
              </w:rPr>
              <w:t xml:space="preserve"> </w:t>
            </w:r>
            <w:r w:rsidRPr="005C63B4">
              <w:rPr>
                <w:rFonts w:ascii="Times New Roman" w:hAnsi="Times New Roman"/>
                <w:sz w:val="28"/>
                <w:szCs w:val="28"/>
              </w:rPr>
              <w:t xml:space="preserve">mirëpret sugjerimet nga qytetarët, </w:t>
            </w:r>
            <w:r w:rsidR="00A73EFE" w:rsidRPr="005C63B4">
              <w:rPr>
                <w:rFonts w:ascii="Times New Roman" w:hAnsi="Times New Roman"/>
                <w:sz w:val="28"/>
                <w:szCs w:val="28"/>
              </w:rPr>
              <w:t xml:space="preserve">ekspertë të fushës, </w:t>
            </w:r>
            <w:r w:rsidR="00B0093C" w:rsidRPr="005C63B4">
              <w:rPr>
                <w:rFonts w:ascii="Times New Roman" w:hAnsi="Times New Roman"/>
                <w:sz w:val="28"/>
                <w:szCs w:val="28"/>
              </w:rPr>
              <w:t xml:space="preserve">nga </w:t>
            </w:r>
            <w:r w:rsidR="00A73EFE" w:rsidRPr="005C63B4">
              <w:rPr>
                <w:rFonts w:ascii="Times New Roman" w:hAnsi="Times New Roman"/>
                <w:sz w:val="28"/>
                <w:szCs w:val="28"/>
              </w:rPr>
              <w:t xml:space="preserve">të gjitha </w:t>
            </w:r>
            <w:r w:rsidR="00B0093C" w:rsidRPr="005C63B4">
              <w:rPr>
                <w:rFonts w:ascii="Times New Roman" w:hAnsi="Times New Roman"/>
                <w:sz w:val="28"/>
                <w:szCs w:val="28"/>
              </w:rPr>
              <w:t>instituc</w:t>
            </w:r>
            <w:r w:rsidR="00A05359" w:rsidRPr="005C63B4">
              <w:rPr>
                <w:rFonts w:ascii="Times New Roman" w:hAnsi="Times New Roman"/>
                <w:sz w:val="28"/>
                <w:szCs w:val="28"/>
              </w:rPr>
              <w:t>ionet dhe subjektet e</w:t>
            </w:r>
            <w:r w:rsidR="00092682" w:rsidRPr="005C63B4">
              <w:rPr>
                <w:rFonts w:ascii="Times New Roman" w:hAnsi="Times New Roman"/>
                <w:sz w:val="28"/>
                <w:szCs w:val="28"/>
              </w:rPr>
              <w:t xml:space="preserve"> interesuara</w:t>
            </w:r>
            <w:r w:rsidRPr="005C63B4">
              <w:rPr>
                <w:rFonts w:ascii="Times New Roman" w:hAnsi="Times New Roman"/>
                <w:sz w:val="28"/>
                <w:szCs w:val="28"/>
              </w:rPr>
              <w:t xml:space="preserve">, </w:t>
            </w:r>
            <w:r w:rsidR="002310D5" w:rsidRPr="005C63B4">
              <w:rPr>
                <w:rFonts w:ascii="Times New Roman" w:hAnsi="Times New Roman"/>
                <w:bCs/>
                <w:iCs/>
                <w:sz w:val="28"/>
                <w:szCs w:val="28"/>
                <w:lang w:bidi="en-US"/>
              </w:rPr>
              <w:t xml:space="preserve">organizata </w:t>
            </w:r>
            <w:r w:rsidR="00A05359" w:rsidRPr="005C63B4">
              <w:rPr>
                <w:rFonts w:ascii="Times New Roman" w:hAnsi="Times New Roman"/>
                <w:bCs/>
                <w:iCs/>
                <w:sz w:val="28"/>
                <w:szCs w:val="28"/>
                <w:lang w:bidi="en-US"/>
              </w:rPr>
              <w:t xml:space="preserve">jofitimprurëse, shoqëria civile, </w:t>
            </w:r>
            <w:r w:rsidR="00FC3DD2" w:rsidRPr="005C63B4">
              <w:rPr>
                <w:rFonts w:ascii="Times New Roman" w:hAnsi="Times New Roman"/>
                <w:bCs/>
                <w:iCs/>
                <w:sz w:val="28"/>
                <w:szCs w:val="28"/>
                <w:lang w:bidi="en-US"/>
              </w:rPr>
              <w:t xml:space="preserve">të drejtat ose </w:t>
            </w:r>
            <w:r w:rsidR="00A05359" w:rsidRPr="005C63B4">
              <w:rPr>
                <w:rFonts w:ascii="Times New Roman" w:hAnsi="Times New Roman"/>
                <w:bCs/>
                <w:iCs/>
                <w:sz w:val="28"/>
                <w:szCs w:val="28"/>
                <w:lang w:bidi="en-US"/>
              </w:rPr>
              <w:t>objekti i veprimtarisë të</w:t>
            </w:r>
            <w:r w:rsidR="00FC3DD2" w:rsidRPr="005C63B4">
              <w:rPr>
                <w:rFonts w:ascii="Times New Roman" w:hAnsi="Times New Roman"/>
                <w:bCs/>
                <w:iCs/>
                <w:sz w:val="28"/>
                <w:szCs w:val="28"/>
                <w:lang w:bidi="en-US"/>
              </w:rPr>
              <w:t xml:space="preserve"> t</w:t>
            </w:r>
            <w:r w:rsidR="00A05359" w:rsidRPr="005C63B4">
              <w:rPr>
                <w:rFonts w:ascii="Times New Roman" w:hAnsi="Times New Roman"/>
                <w:bCs/>
                <w:iCs/>
                <w:sz w:val="28"/>
                <w:szCs w:val="28"/>
                <w:lang w:bidi="en-US"/>
              </w:rPr>
              <w:t>ë cil</w:t>
            </w:r>
            <w:r w:rsidR="00FC3DD2" w:rsidRPr="005C63B4">
              <w:rPr>
                <w:rFonts w:ascii="Times New Roman" w:hAnsi="Times New Roman"/>
                <w:bCs/>
                <w:iCs/>
                <w:sz w:val="28"/>
                <w:szCs w:val="28"/>
                <w:lang w:bidi="en-US"/>
              </w:rPr>
              <w:t>a</w:t>
            </w:r>
            <w:r w:rsidR="00A05359" w:rsidRPr="005C63B4">
              <w:rPr>
                <w:rFonts w:ascii="Times New Roman" w:hAnsi="Times New Roman"/>
                <w:bCs/>
                <w:iCs/>
                <w:sz w:val="28"/>
                <w:szCs w:val="28"/>
                <w:lang w:bidi="en-US"/>
              </w:rPr>
              <w:t xml:space="preserve">ve </w:t>
            </w:r>
            <w:r w:rsidR="00FC3DD2" w:rsidRPr="005C63B4">
              <w:rPr>
                <w:rFonts w:ascii="Times New Roman" w:hAnsi="Times New Roman"/>
                <w:bCs/>
                <w:iCs/>
                <w:sz w:val="28"/>
                <w:szCs w:val="28"/>
                <w:lang w:bidi="en-US"/>
              </w:rPr>
              <w:t xml:space="preserve">ka të bëjë apo ndikohet në mënyrë të drejtpërdrejtë </w:t>
            </w:r>
            <w:r w:rsidR="002726E3" w:rsidRPr="005C63B4">
              <w:rPr>
                <w:rFonts w:ascii="Times New Roman" w:hAnsi="Times New Roman"/>
                <w:bCs/>
                <w:iCs/>
                <w:sz w:val="28"/>
                <w:szCs w:val="28"/>
                <w:lang w:bidi="en-US"/>
              </w:rPr>
              <w:t xml:space="preserve">ose jo </w:t>
            </w:r>
            <w:r w:rsidR="00FC3DD2" w:rsidRPr="005C63B4">
              <w:rPr>
                <w:rFonts w:ascii="Times New Roman" w:hAnsi="Times New Roman"/>
                <w:bCs/>
                <w:iCs/>
                <w:sz w:val="28"/>
                <w:szCs w:val="28"/>
                <w:lang w:bidi="en-US"/>
              </w:rPr>
              <w:t xml:space="preserve">nga </w:t>
            </w:r>
            <w:r w:rsidR="001077A7" w:rsidRPr="005C63B4">
              <w:rPr>
                <w:rFonts w:ascii="Times New Roman" w:hAnsi="Times New Roman"/>
                <w:bCs/>
                <w:iCs/>
                <w:sz w:val="28"/>
                <w:szCs w:val="28"/>
                <w:lang w:bidi="en-US"/>
              </w:rPr>
              <w:t xml:space="preserve">përcaktimet e kësaj nisme ligjore. </w:t>
            </w:r>
          </w:p>
          <w:p w14:paraId="107036DC" w14:textId="7604C18D" w:rsidR="00163AAF" w:rsidRPr="005C63B4" w:rsidRDefault="00163AAF" w:rsidP="00D54A64">
            <w:pPr>
              <w:pStyle w:val="NoSpacing"/>
              <w:jc w:val="both"/>
              <w:rPr>
                <w:rFonts w:ascii="Times New Roman" w:hAnsi="Times New Roman"/>
                <w:b/>
                <w:sz w:val="28"/>
                <w:szCs w:val="28"/>
              </w:rPr>
            </w:pPr>
          </w:p>
        </w:tc>
      </w:tr>
    </w:tbl>
    <w:p w14:paraId="4DD98B09" w14:textId="77777777" w:rsidR="008675CA" w:rsidRPr="005C63B4" w:rsidRDefault="008675CA" w:rsidP="00D54A64">
      <w:pPr>
        <w:pStyle w:val="BodyText"/>
        <w:spacing w:after="0"/>
        <w:jc w:val="both"/>
        <w:rPr>
          <w:rFonts w:ascii="Times New Roman" w:hAnsi="Times New Roman"/>
          <w:sz w:val="28"/>
          <w:szCs w:val="28"/>
          <w:highlight w:val="yellow"/>
          <w:lang w:val="sq-AL"/>
        </w:rPr>
      </w:pPr>
    </w:p>
    <w:p w14:paraId="2DB7AA78"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Kohëzgjatja e konsultimeve</w:t>
      </w:r>
      <w:r w:rsidR="008675CA" w:rsidRPr="005C63B4">
        <w:rPr>
          <w:rFonts w:ascii="Times New Roman" w:hAnsi="Times New Roman"/>
          <w:b/>
          <w:sz w:val="28"/>
          <w:szCs w:val="28"/>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0A95A18B" w14:textId="77777777" w:rsidTr="00957E1F">
        <w:tc>
          <w:tcPr>
            <w:tcW w:w="9212" w:type="dxa"/>
          </w:tcPr>
          <w:p w14:paraId="5863E002" w14:textId="5F738720" w:rsidR="001E4573" w:rsidRPr="005C63B4" w:rsidRDefault="00B0093C" w:rsidP="00D54A64">
            <w:pPr>
              <w:pStyle w:val="BodyText"/>
              <w:spacing w:after="0"/>
              <w:jc w:val="both"/>
              <w:rPr>
                <w:rFonts w:ascii="Times New Roman" w:hAnsi="Times New Roman"/>
                <w:sz w:val="28"/>
                <w:szCs w:val="28"/>
                <w:lang w:val="sq-AL"/>
              </w:rPr>
            </w:pPr>
            <w:r w:rsidRPr="005C63B4">
              <w:rPr>
                <w:rFonts w:ascii="Times New Roman" w:hAnsi="Times New Roman"/>
                <w:sz w:val="28"/>
                <w:szCs w:val="28"/>
                <w:lang w:val="sq-AL"/>
              </w:rPr>
              <w:t>Konsultimet në portalin e Regjistrit Elektronik: 20 ditë pune</w:t>
            </w:r>
            <w:r w:rsidR="007765B7" w:rsidRPr="005C63B4">
              <w:rPr>
                <w:rFonts w:ascii="Times New Roman" w:hAnsi="Times New Roman"/>
                <w:sz w:val="28"/>
                <w:szCs w:val="28"/>
                <w:lang w:val="sq-AL"/>
              </w:rPr>
              <w:t xml:space="preserve">, duke filluar nga </w:t>
            </w:r>
            <w:r w:rsidR="001077A7" w:rsidRPr="005C63B4">
              <w:rPr>
                <w:rFonts w:ascii="Times New Roman" w:hAnsi="Times New Roman"/>
                <w:sz w:val="28"/>
                <w:szCs w:val="28"/>
                <w:lang w:val="sq-AL"/>
              </w:rPr>
              <w:t xml:space="preserve">data </w:t>
            </w:r>
            <w:r w:rsidR="009713D0" w:rsidRPr="005C63B4">
              <w:rPr>
                <w:rFonts w:ascii="Times New Roman" w:hAnsi="Times New Roman"/>
                <w:sz w:val="28"/>
                <w:szCs w:val="28"/>
                <w:lang w:val="sq-AL"/>
              </w:rPr>
              <w:t>2</w:t>
            </w:r>
            <w:r w:rsidR="003C4ADD">
              <w:rPr>
                <w:rFonts w:ascii="Times New Roman" w:hAnsi="Times New Roman"/>
                <w:bCs/>
                <w:sz w:val="28"/>
                <w:szCs w:val="28"/>
                <w:lang w:val="sq-AL"/>
              </w:rPr>
              <w:t>2</w:t>
            </w:r>
            <w:r w:rsidR="004978EE" w:rsidRPr="005C63B4">
              <w:rPr>
                <w:rFonts w:ascii="Times New Roman" w:hAnsi="Times New Roman"/>
                <w:bCs/>
                <w:sz w:val="28"/>
                <w:szCs w:val="28"/>
                <w:lang w:val="sq-AL"/>
              </w:rPr>
              <w:t xml:space="preserve"> </w:t>
            </w:r>
            <w:r w:rsidR="009713D0" w:rsidRPr="005C63B4">
              <w:rPr>
                <w:rFonts w:ascii="Times New Roman" w:hAnsi="Times New Roman"/>
                <w:bCs/>
                <w:sz w:val="28"/>
                <w:szCs w:val="28"/>
                <w:lang w:val="sq-AL"/>
              </w:rPr>
              <w:t>Prill</w:t>
            </w:r>
            <w:r w:rsidR="004978EE" w:rsidRPr="005C63B4">
              <w:rPr>
                <w:rFonts w:ascii="Times New Roman" w:hAnsi="Times New Roman"/>
                <w:bCs/>
                <w:sz w:val="28"/>
                <w:szCs w:val="28"/>
                <w:lang w:val="sq-AL"/>
              </w:rPr>
              <w:t xml:space="preserve"> 202</w:t>
            </w:r>
            <w:r w:rsidR="009713D0" w:rsidRPr="005C63B4">
              <w:rPr>
                <w:rFonts w:ascii="Times New Roman" w:hAnsi="Times New Roman"/>
                <w:bCs/>
                <w:sz w:val="28"/>
                <w:szCs w:val="28"/>
                <w:lang w:val="sq-AL"/>
              </w:rPr>
              <w:t>6</w:t>
            </w:r>
            <w:r w:rsidR="004978EE" w:rsidRPr="005C63B4">
              <w:rPr>
                <w:rFonts w:ascii="Times New Roman" w:hAnsi="Times New Roman"/>
                <w:bCs/>
                <w:sz w:val="28"/>
                <w:szCs w:val="28"/>
                <w:lang w:val="sq-AL"/>
              </w:rPr>
              <w:t>.</w:t>
            </w:r>
          </w:p>
        </w:tc>
      </w:tr>
    </w:tbl>
    <w:p w14:paraId="29630BCB" w14:textId="77777777" w:rsidR="008675CA" w:rsidRPr="005C63B4" w:rsidRDefault="008675CA" w:rsidP="00D54A64">
      <w:pPr>
        <w:pStyle w:val="BodyText"/>
        <w:spacing w:after="0"/>
        <w:jc w:val="both"/>
        <w:rPr>
          <w:rFonts w:ascii="Times New Roman" w:hAnsi="Times New Roman"/>
          <w:sz w:val="28"/>
          <w:szCs w:val="28"/>
          <w:lang w:val="sq-AL"/>
        </w:rPr>
      </w:pPr>
    </w:p>
    <w:p w14:paraId="57C82A5C"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0FF81B91" w14:textId="77777777" w:rsidTr="00957E1F">
        <w:tc>
          <w:tcPr>
            <w:tcW w:w="9212" w:type="dxa"/>
          </w:tcPr>
          <w:p w14:paraId="0FDDCFDC" w14:textId="77777777" w:rsidR="003941C6" w:rsidRDefault="003941C6" w:rsidP="00D54A64">
            <w:pPr>
              <w:pStyle w:val="BodyText"/>
              <w:spacing w:after="0"/>
              <w:jc w:val="both"/>
              <w:rPr>
                <w:rFonts w:ascii="Times New Roman" w:hAnsi="Times New Roman"/>
                <w:sz w:val="28"/>
                <w:szCs w:val="28"/>
                <w:lang w:val="sq-AL"/>
              </w:rPr>
            </w:pPr>
          </w:p>
          <w:p w14:paraId="3A57C8B9" w14:textId="1681E293" w:rsidR="00433F2F" w:rsidRPr="005C63B4" w:rsidRDefault="00B0093C" w:rsidP="00D54A64">
            <w:pPr>
              <w:pStyle w:val="BodyText"/>
              <w:spacing w:after="0"/>
              <w:jc w:val="both"/>
              <w:rPr>
                <w:rFonts w:ascii="Times New Roman" w:hAnsi="Times New Roman"/>
                <w:sz w:val="28"/>
                <w:szCs w:val="28"/>
                <w:lang w:val="sq-AL"/>
              </w:rPr>
            </w:pPr>
            <w:r w:rsidRPr="005C63B4">
              <w:rPr>
                <w:rFonts w:ascii="Times New Roman" w:hAnsi="Times New Roman"/>
                <w:sz w:val="28"/>
                <w:szCs w:val="28"/>
                <w:lang w:val="sq-AL"/>
              </w:rPr>
              <w:t>Kontributet që në kuadër të procesit të konsultimit dhe përmirësimit të përmbajtjes së projektligjit, do të përcillen nga institucionet e interesuara nëpërmjet postës elektronik</w:t>
            </w:r>
            <w:r w:rsidR="007B4AD9" w:rsidRPr="005C63B4">
              <w:rPr>
                <w:rFonts w:ascii="Times New Roman" w:hAnsi="Times New Roman"/>
                <w:sz w:val="28"/>
                <w:szCs w:val="28"/>
                <w:lang w:val="sq-AL"/>
              </w:rPr>
              <w:t>e</w:t>
            </w:r>
            <w:r w:rsidRPr="005C63B4">
              <w:rPr>
                <w:rFonts w:ascii="Times New Roman" w:hAnsi="Times New Roman"/>
                <w:sz w:val="28"/>
                <w:szCs w:val="28"/>
                <w:lang w:val="sq-AL"/>
              </w:rPr>
              <w:t xml:space="preserve"> drejtuar Ministrisë së </w:t>
            </w:r>
            <w:r w:rsidR="00647695" w:rsidRPr="005C63B4">
              <w:rPr>
                <w:rFonts w:ascii="Times New Roman" w:hAnsi="Times New Roman"/>
                <w:sz w:val="28"/>
                <w:szCs w:val="28"/>
                <w:lang w:val="sq-AL"/>
              </w:rPr>
              <w:t>Infrastrukturës dhe Energjisë</w:t>
            </w:r>
            <w:r w:rsidRPr="005C63B4">
              <w:rPr>
                <w:rFonts w:ascii="Times New Roman" w:hAnsi="Times New Roman"/>
                <w:sz w:val="28"/>
                <w:szCs w:val="28"/>
                <w:lang w:val="sq-AL"/>
              </w:rPr>
              <w:t>, me anë të</w:t>
            </w:r>
            <w:r w:rsidR="00433F2F" w:rsidRPr="005C63B4">
              <w:rPr>
                <w:rFonts w:ascii="Times New Roman" w:hAnsi="Times New Roman"/>
                <w:sz w:val="28"/>
                <w:szCs w:val="28"/>
                <w:lang w:val="sq-AL"/>
              </w:rPr>
              <w:t>:</w:t>
            </w:r>
          </w:p>
          <w:p w14:paraId="488B5A78" w14:textId="1438D0E0" w:rsidR="00433F2F" w:rsidRPr="005C63B4" w:rsidRDefault="00383D55" w:rsidP="00D54A64">
            <w:pPr>
              <w:pStyle w:val="BodyText"/>
              <w:numPr>
                <w:ilvl w:val="0"/>
                <w:numId w:val="89"/>
              </w:numPr>
              <w:tabs>
                <w:tab w:val="clear" w:pos="567"/>
                <w:tab w:val="left" w:pos="510"/>
              </w:tabs>
              <w:spacing w:after="0"/>
              <w:ind w:hanging="390"/>
              <w:jc w:val="both"/>
              <w:rPr>
                <w:rFonts w:ascii="Times New Roman" w:hAnsi="Times New Roman"/>
                <w:iCs/>
                <w:sz w:val="28"/>
                <w:szCs w:val="28"/>
                <w:lang w:val="sq-AL"/>
              </w:rPr>
            </w:pPr>
            <w:r w:rsidRPr="005C63B4">
              <w:rPr>
                <w:rFonts w:ascii="Times New Roman" w:hAnsi="Times New Roman"/>
                <w:sz w:val="28"/>
                <w:szCs w:val="28"/>
                <w:lang w:val="sq-AL"/>
              </w:rPr>
              <w:t xml:space="preserve"> </w:t>
            </w:r>
            <w:r w:rsidR="00433F2F" w:rsidRPr="005C63B4">
              <w:rPr>
                <w:rFonts w:ascii="Times New Roman" w:hAnsi="Times New Roman"/>
                <w:sz w:val="28"/>
                <w:szCs w:val="28"/>
                <w:lang w:val="sq-AL"/>
              </w:rPr>
              <w:t>R</w:t>
            </w:r>
            <w:r w:rsidR="00B0093C" w:rsidRPr="005C63B4">
              <w:rPr>
                <w:rFonts w:ascii="Times New Roman" w:hAnsi="Times New Roman"/>
                <w:sz w:val="28"/>
                <w:szCs w:val="28"/>
                <w:lang w:val="sq-AL"/>
              </w:rPr>
              <w:t xml:space="preserve">egjistrit elektronik në adresën </w:t>
            </w:r>
            <w:hyperlink r:id="rId5" w:history="1">
              <w:r w:rsidR="002E53FF" w:rsidRPr="005C63B4">
                <w:rPr>
                  <w:rStyle w:val="Hyperlink"/>
                  <w:rFonts w:ascii="Times New Roman" w:hAnsi="Times New Roman"/>
                  <w:iCs/>
                  <w:sz w:val="28"/>
                  <w:szCs w:val="28"/>
                  <w:lang w:val="sq-AL"/>
                </w:rPr>
                <w:t>http://www.konsultimipublik.gov.al</w:t>
              </w:r>
            </w:hyperlink>
            <w:r w:rsidR="00B0093C" w:rsidRPr="005C63B4">
              <w:rPr>
                <w:rFonts w:ascii="Times New Roman" w:hAnsi="Times New Roman"/>
                <w:iCs/>
                <w:sz w:val="28"/>
                <w:szCs w:val="28"/>
                <w:lang w:val="sq-AL"/>
              </w:rPr>
              <w:t xml:space="preserve">, </w:t>
            </w:r>
          </w:p>
          <w:p w14:paraId="6F8C0843" w14:textId="251A90A7" w:rsidR="00433F2F" w:rsidRPr="005C63B4" w:rsidRDefault="00433F2F" w:rsidP="00D54A64">
            <w:pPr>
              <w:pStyle w:val="BodyText"/>
              <w:numPr>
                <w:ilvl w:val="0"/>
                <w:numId w:val="89"/>
              </w:numPr>
              <w:tabs>
                <w:tab w:val="clear" w:pos="567"/>
                <w:tab w:val="left" w:pos="510"/>
              </w:tabs>
              <w:spacing w:after="0"/>
              <w:ind w:left="600" w:hanging="270"/>
              <w:jc w:val="both"/>
              <w:rPr>
                <w:rFonts w:ascii="Times New Roman" w:hAnsi="Times New Roman"/>
                <w:iCs/>
                <w:sz w:val="28"/>
                <w:szCs w:val="28"/>
                <w:lang w:val="sq-AL"/>
              </w:rPr>
            </w:pPr>
            <w:r w:rsidRPr="005C63B4">
              <w:rPr>
                <w:rFonts w:ascii="Times New Roman" w:hAnsi="Times New Roman"/>
                <w:iCs/>
                <w:sz w:val="28"/>
                <w:szCs w:val="28"/>
                <w:lang w:val="sq-AL"/>
              </w:rPr>
              <w:t xml:space="preserve"> N</w:t>
            </w:r>
            <w:r w:rsidR="00B0093C" w:rsidRPr="005C63B4">
              <w:rPr>
                <w:rFonts w:ascii="Times New Roman" w:hAnsi="Times New Roman"/>
                <w:iCs/>
                <w:sz w:val="28"/>
                <w:szCs w:val="28"/>
                <w:lang w:val="sq-AL"/>
              </w:rPr>
              <w:t xml:space="preserve">ë adresën postare të </w:t>
            </w:r>
            <w:r w:rsidR="00647695" w:rsidRPr="005C63B4">
              <w:rPr>
                <w:rFonts w:ascii="Times New Roman" w:hAnsi="Times New Roman"/>
                <w:sz w:val="28"/>
                <w:szCs w:val="28"/>
                <w:lang w:val="sq-AL"/>
              </w:rPr>
              <w:t>Ministri</w:t>
            </w:r>
            <w:r w:rsidRPr="005C63B4">
              <w:rPr>
                <w:rFonts w:ascii="Times New Roman" w:hAnsi="Times New Roman"/>
                <w:sz w:val="28"/>
                <w:szCs w:val="28"/>
                <w:lang w:val="sq-AL"/>
              </w:rPr>
              <w:t>së së</w:t>
            </w:r>
            <w:r w:rsidR="00647695" w:rsidRPr="005C63B4">
              <w:rPr>
                <w:rFonts w:ascii="Times New Roman" w:hAnsi="Times New Roman"/>
                <w:sz w:val="28"/>
                <w:szCs w:val="28"/>
                <w:lang w:val="sq-AL"/>
              </w:rPr>
              <w:t xml:space="preserve"> Infrastrukturës dhe Energjisë</w:t>
            </w:r>
            <w:r w:rsidR="00087972" w:rsidRPr="005C63B4">
              <w:rPr>
                <w:rFonts w:ascii="Times New Roman" w:hAnsi="Times New Roman"/>
                <w:iCs/>
                <w:sz w:val="28"/>
                <w:szCs w:val="28"/>
                <w:lang w:val="sq-AL"/>
              </w:rPr>
              <w:t xml:space="preserve">: </w:t>
            </w:r>
            <w:r w:rsidR="00647695" w:rsidRPr="005C63B4">
              <w:rPr>
                <w:rFonts w:ascii="Times New Roman" w:hAnsi="Times New Roman"/>
                <w:iCs/>
                <w:sz w:val="28"/>
                <w:szCs w:val="28"/>
                <w:lang w:val="sq-AL"/>
              </w:rPr>
              <w:t>Rr.Abdi Toptani, 4,</w:t>
            </w:r>
            <w:r w:rsidR="00B0093C" w:rsidRPr="005C63B4">
              <w:rPr>
                <w:rFonts w:ascii="Times New Roman" w:hAnsi="Times New Roman"/>
                <w:iCs/>
                <w:sz w:val="28"/>
                <w:szCs w:val="28"/>
                <w:lang w:val="sq-AL"/>
              </w:rPr>
              <w:t>Tiranë,</w:t>
            </w:r>
          </w:p>
          <w:p w14:paraId="13B36126" w14:textId="0463832E" w:rsidR="00433F2F" w:rsidRPr="005C63B4" w:rsidRDefault="00433F2F" w:rsidP="00D54A64">
            <w:pPr>
              <w:pStyle w:val="BodyText"/>
              <w:numPr>
                <w:ilvl w:val="0"/>
                <w:numId w:val="89"/>
              </w:numPr>
              <w:tabs>
                <w:tab w:val="clear" w:pos="567"/>
                <w:tab w:val="left" w:pos="510"/>
              </w:tabs>
              <w:spacing w:after="0"/>
              <w:ind w:left="600" w:hanging="270"/>
              <w:jc w:val="both"/>
              <w:rPr>
                <w:rFonts w:ascii="Times New Roman" w:hAnsi="Times New Roman"/>
                <w:iCs/>
                <w:sz w:val="28"/>
                <w:szCs w:val="28"/>
                <w:lang w:val="sq-AL"/>
              </w:rPr>
            </w:pPr>
            <w:r w:rsidRPr="005C63B4">
              <w:rPr>
                <w:rFonts w:ascii="Times New Roman" w:hAnsi="Times New Roman"/>
                <w:iCs/>
                <w:sz w:val="28"/>
                <w:szCs w:val="28"/>
                <w:lang w:val="sq-AL"/>
              </w:rPr>
              <w:t xml:space="preserve"> N</w:t>
            </w:r>
            <w:r w:rsidR="00343EA7" w:rsidRPr="005C63B4">
              <w:rPr>
                <w:rFonts w:ascii="Times New Roman" w:hAnsi="Times New Roman"/>
                <w:iCs/>
                <w:sz w:val="28"/>
                <w:szCs w:val="28"/>
                <w:lang w:val="sq-AL"/>
              </w:rPr>
              <w:t>ë</w:t>
            </w:r>
            <w:r w:rsidR="00B82C4C" w:rsidRPr="005C63B4">
              <w:rPr>
                <w:rFonts w:ascii="Times New Roman" w:hAnsi="Times New Roman"/>
                <w:iCs/>
                <w:sz w:val="28"/>
                <w:szCs w:val="28"/>
                <w:lang w:val="sq-AL"/>
              </w:rPr>
              <w:t xml:space="preserve"> </w:t>
            </w:r>
            <w:r w:rsidR="00343EA7" w:rsidRPr="005C63B4">
              <w:rPr>
                <w:rFonts w:ascii="Times New Roman" w:hAnsi="Times New Roman"/>
                <w:iCs/>
                <w:sz w:val="28"/>
                <w:szCs w:val="28"/>
                <w:lang w:val="sq-AL"/>
              </w:rPr>
              <w:t xml:space="preserve">adresën e </w:t>
            </w:r>
            <w:r w:rsidR="007B4AD9" w:rsidRPr="005C63B4">
              <w:rPr>
                <w:rFonts w:ascii="Times New Roman" w:hAnsi="Times New Roman"/>
                <w:iCs/>
                <w:sz w:val="28"/>
                <w:szCs w:val="28"/>
                <w:lang w:val="sq-AL"/>
              </w:rPr>
              <w:t>e</w:t>
            </w:r>
            <w:r w:rsidR="00343EA7" w:rsidRPr="005C63B4">
              <w:rPr>
                <w:rFonts w:ascii="Times New Roman" w:hAnsi="Times New Roman"/>
                <w:iCs/>
                <w:sz w:val="28"/>
                <w:szCs w:val="28"/>
                <w:lang w:val="sq-AL"/>
              </w:rPr>
              <w:t>-</w:t>
            </w:r>
            <w:r w:rsidR="007B4AD9" w:rsidRPr="005C63B4">
              <w:rPr>
                <w:rFonts w:ascii="Times New Roman" w:hAnsi="Times New Roman"/>
                <w:iCs/>
                <w:sz w:val="28"/>
                <w:szCs w:val="28"/>
                <w:lang w:val="sq-AL"/>
              </w:rPr>
              <w:t>mailit të koordinatorit për konsultimin publik</w:t>
            </w:r>
            <w:r w:rsidR="00383D55" w:rsidRPr="005C63B4">
              <w:rPr>
                <w:rFonts w:ascii="Times New Roman" w:hAnsi="Times New Roman"/>
                <w:iCs/>
                <w:sz w:val="28"/>
                <w:szCs w:val="28"/>
                <w:lang w:val="sq-AL"/>
              </w:rPr>
              <w:t xml:space="preserve"> </w:t>
            </w:r>
            <w:hyperlink r:id="rId6" w:history="1">
              <w:r w:rsidR="00383D55" w:rsidRPr="005C63B4">
                <w:rPr>
                  <w:rStyle w:val="Hyperlink"/>
                  <w:rFonts w:ascii="Times New Roman" w:hAnsi="Times New Roman"/>
                  <w:iCs/>
                  <w:sz w:val="28"/>
                  <w:szCs w:val="28"/>
                  <w:lang w:val="sq-AL"/>
                </w:rPr>
                <w:t>vilma.davidhi@infrastruktura.gov.al</w:t>
              </w:r>
            </w:hyperlink>
            <w:r w:rsidR="001E40DB" w:rsidRPr="005C63B4">
              <w:rPr>
                <w:rFonts w:ascii="Times New Roman" w:hAnsi="Times New Roman"/>
                <w:sz w:val="28"/>
                <w:szCs w:val="28"/>
                <w:lang w:val="it-IT"/>
              </w:rPr>
              <w:t>,</w:t>
            </w:r>
          </w:p>
          <w:p w14:paraId="29D266A9" w14:textId="77777777" w:rsidR="00383D55" w:rsidRPr="005C63B4" w:rsidRDefault="00383D55" w:rsidP="00D54A64">
            <w:pPr>
              <w:pStyle w:val="BodyText"/>
              <w:tabs>
                <w:tab w:val="clear" w:pos="567"/>
                <w:tab w:val="left" w:pos="510"/>
              </w:tabs>
              <w:spacing w:after="0"/>
              <w:ind w:left="600"/>
              <w:jc w:val="both"/>
              <w:rPr>
                <w:rFonts w:ascii="Times New Roman" w:hAnsi="Times New Roman"/>
                <w:iCs/>
                <w:sz w:val="28"/>
                <w:szCs w:val="28"/>
                <w:lang w:val="sq-AL"/>
              </w:rPr>
            </w:pPr>
          </w:p>
          <w:p w14:paraId="725A5EEA" w14:textId="3D881D22" w:rsidR="008675CA" w:rsidRPr="005C63B4" w:rsidRDefault="00B0093C" w:rsidP="00D54A64">
            <w:pPr>
              <w:pStyle w:val="BodyText"/>
              <w:spacing w:after="0"/>
              <w:jc w:val="both"/>
              <w:rPr>
                <w:rFonts w:ascii="Times New Roman" w:hAnsi="Times New Roman"/>
                <w:iCs/>
                <w:sz w:val="28"/>
                <w:szCs w:val="28"/>
                <w:lang w:val="sq-AL"/>
              </w:rPr>
            </w:pPr>
            <w:r w:rsidRPr="005C63B4">
              <w:rPr>
                <w:rFonts w:ascii="Times New Roman" w:hAnsi="Times New Roman"/>
                <w:iCs/>
                <w:sz w:val="28"/>
                <w:szCs w:val="28"/>
                <w:lang w:val="sq-AL"/>
              </w:rPr>
              <w:t xml:space="preserve">si </w:t>
            </w:r>
            <w:r w:rsidRPr="005C63B4">
              <w:rPr>
                <w:rFonts w:ascii="Times New Roman" w:hAnsi="Times New Roman"/>
                <w:sz w:val="28"/>
                <w:szCs w:val="28"/>
                <w:lang w:val="sq-AL"/>
              </w:rPr>
              <w:t xml:space="preserve">dhe nëpërmjet komenteve të drejtpërdrejta në tryezat e konsultimit </w:t>
            </w:r>
            <w:r w:rsidR="00087972" w:rsidRPr="005C63B4">
              <w:rPr>
                <w:rFonts w:ascii="Times New Roman" w:hAnsi="Times New Roman"/>
                <w:sz w:val="28"/>
                <w:szCs w:val="28"/>
                <w:lang w:val="sq-AL"/>
              </w:rPr>
              <w:t xml:space="preserve">që eventualisht mund të zhvillohen </w:t>
            </w:r>
            <w:r w:rsidRPr="005C63B4">
              <w:rPr>
                <w:rFonts w:ascii="Times New Roman" w:hAnsi="Times New Roman"/>
                <w:sz w:val="28"/>
                <w:szCs w:val="28"/>
                <w:lang w:val="sq-AL"/>
              </w:rPr>
              <w:t xml:space="preserve">në </w:t>
            </w:r>
            <w:r w:rsidR="00647695" w:rsidRPr="005C63B4">
              <w:rPr>
                <w:rFonts w:ascii="Times New Roman" w:hAnsi="Times New Roman"/>
                <w:sz w:val="28"/>
                <w:szCs w:val="28"/>
                <w:lang w:val="sq-AL"/>
              </w:rPr>
              <w:t>Ministr</w:t>
            </w:r>
            <w:r w:rsidR="004E24EE" w:rsidRPr="005C63B4">
              <w:rPr>
                <w:rFonts w:ascii="Times New Roman" w:hAnsi="Times New Roman"/>
                <w:sz w:val="28"/>
                <w:szCs w:val="28"/>
                <w:lang w:val="sq-AL"/>
              </w:rPr>
              <w:t>i</w:t>
            </w:r>
            <w:r w:rsidR="00647695" w:rsidRPr="005C63B4">
              <w:rPr>
                <w:rFonts w:ascii="Times New Roman" w:hAnsi="Times New Roman"/>
                <w:sz w:val="28"/>
                <w:szCs w:val="28"/>
                <w:lang w:val="sq-AL"/>
              </w:rPr>
              <w:t>në e Infrastrukturës dhe Energjisë</w:t>
            </w:r>
            <w:r w:rsidRPr="005C63B4">
              <w:rPr>
                <w:rFonts w:ascii="Times New Roman" w:hAnsi="Times New Roman"/>
                <w:sz w:val="28"/>
                <w:szCs w:val="28"/>
                <w:lang w:val="sq-AL"/>
              </w:rPr>
              <w:t>.</w:t>
            </w:r>
          </w:p>
        </w:tc>
      </w:tr>
    </w:tbl>
    <w:p w14:paraId="3C463429" w14:textId="77777777" w:rsidR="008675CA" w:rsidRPr="005C63B4" w:rsidRDefault="008675CA" w:rsidP="00D54A64">
      <w:pPr>
        <w:pStyle w:val="BodyText"/>
        <w:spacing w:after="0"/>
        <w:jc w:val="both"/>
        <w:rPr>
          <w:rFonts w:ascii="Times New Roman" w:hAnsi="Times New Roman"/>
          <w:sz w:val="28"/>
          <w:szCs w:val="28"/>
          <w:lang w:val="sq-AL"/>
        </w:rPr>
      </w:pPr>
    </w:p>
    <w:p w14:paraId="6C4BE25B"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Kontakti</w:t>
      </w:r>
      <w:r w:rsidR="008675CA" w:rsidRPr="005C63B4">
        <w:rPr>
          <w:rFonts w:ascii="Times New Roman" w:hAnsi="Times New Roman"/>
          <w:b/>
          <w:sz w:val="28"/>
          <w:szCs w:val="28"/>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12B24D1C" w14:textId="77777777" w:rsidTr="00957E1F">
        <w:tc>
          <w:tcPr>
            <w:tcW w:w="9212" w:type="dxa"/>
          </w:tcPr>
          <w:p w14:paraId="3637B89E" w14:textId="4E53F89C" w:rsidR="00203C7D" w:rsidRPr="005C63B4" w:rsidRDefault="00203C7D" w:rsidP="00D54A64">
            <w:pPr>
              <w:pStyle w:val="BodyText"/>
              <w:spacing w:after="0"/>
              <w:jc w:val="both"/>
              <w:rPr>
                <w:rFonts w:ascii="Times New Roman" w:hAnsi="Times New Roman"/>
                <w:iCs/>
                <w:sz w:val="28"/>
                <w:szCs w:val="28"/>
                <w:lang w:val="sq-AL"/>
              </w:rPr>
            </w:pPr>
            <w:r w:rsidRPr="005C63B4">
              <w:rPr>
                <w:rFonts w:ascii="Times New Roman" w:hAnsi="Times New Roman"/>
                <w:sz w:val="28"/>
                <w:szCs w:val="28"/>
                <w:lang w:val="sq-AL"/>
              </w:rPr>
              <w:t>Vilma Davidhi</w:t>
            </w:r>
            <w:r w:rsidR="00B0093C" w:rsidRPr="005C63B4">
              <w:rPr>
                <w:rFonts w:ascii="Times New Roman" w:hAnsi="Times New Roman"/>
                <w:sz w:val="28"/>
                <w:szCs w:val="28"/>
                <w:lang w:val="sq-AL"/>
              </w:rPr>
              <w:t xml:space="preserve">, Koordinatore për konsultimin publik në Ministri: </w:t>
            </w:r>
            <w:hyperlink r:id="rId7" w:history="1">
              <w:r w:rsidRPr="005C63B4">
                <w:rPr>
                  <w:rStyle w:val="Hyperlink"/>
                  <w:rFonts w:ascii="Times New Roman" w:hAnsi="Times New Roman"/>
                  <w:iCs/>
                  <w:sz w:val="28"/>
                  <w:szCs w:val="28"/>
                  <w:lang w:val="sq-AL"/>
                </w:rPr>
                <w:t>vilma.davidhi@infrastruktura.gov.al</w:t>
              </w:r>
            </w:hyperlink>
          </w:p>
        </w:tc>
      </w:tr>
    </w:tbl>
    <w:p w14:paraId="5D44D821" w14:textId="77777777" w:rsidR="008675CA" w:rsidRPr="005C63B4" w:rsidRDefault="008675CA" w:rsidP="00D54A64">
      <w:pPr>
        <w:pStyle w:val="BodyText"/>
        <w:spacing w:after="0"/>
        <w:jc w:val="both"/>
        <w:rPr>
          <w:rFonts w:ascii="Times New Roman" w:hAnsi="Times New Roman"/>
          <w:sz w:val="28"/>
          <w:szCs w:val="28"/>
          <w:lang w:val="sq-AL"/>
        </w:rPr>
      </w:pPr>
    </w:p>
    <w:p w14:paraId="3524433B"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7239AD1E" w14:textId="77777777" w:rsidTr="00957E1F">
        <w:tc>
          <w:tcPr>
            <w:tcW w:w="9212" w:type="dxa"/>
          </w:tcPr>
          <w:p w14:paraId="225A0334" w14:textId="058DA996" w:rsidR="00AD4479" w:rsidRPr="005C63B4" w:rsidRDefault="00AD4479" w:rsidP="00D54A64">
            <w:pPr>
              <w:pStyle w:val="BodyText"/>
              <w:spacing w:after="0"/>
              <w:jc w:val="both"/>
              <w:rPr>
                <w:rFonts w:ascii="Times New Roman" w:hAnsi="Times New Roman"/>
                <w:i/>
                <w:sz w:val="28"/>
                <w:szCs w:val="28"/>
                <w:lang w:val="sq-AL"/>
              </w:rPr>
            </w:pPr>
            <w:r w:rsidRPr="005C63B4">
              <w:rPr>
                <w:rFonts w:ascii="Times New Roman" w:hAnsi="Times New Roman"/>
                <w:sz w:val="28"/>
                <w:szCs w:val="28"/>
                <w:lang w:val="sq-AL"/>
              </w:rPr>
              <w:t>E-Konsultimi: në portalin “</w:t>
            </w:r>
            <w:r w:rsidR="00343EA7" w:rsidRPr="005C63B4">
              <w:rPr>
                <w:rFonts w:ascii="Times New Roman" w:hAnsi="Times New Roman"/>
                <w:sz w:val="28"/>
                <w:szCs w:val="28"/>
                <w:lang w:val="sq-AL"/>
              </w:rPr>
              <w:t>Regjistri</w:t>
            </w:r>
            <w:r w:rsidRPr="005C63B4">
              <w:rPr>
                <w:rFonts w:ascii="Times New Roman" w:hAnsi="Times New Roman"/>
                <w:sz w:val="28"/>
                <w:szCs w:val="28"/>
                <w:lang w:val="sq-AL"/>
              </w:rPr>
              <w:t xml:space="preserve"> Elektronik për Njoftimet dhe Konsultimet Publike” </w:t>
            </w:r>
            <w:r w:rsidR="007765B7" w:rsidRPr="005C63B4">
              <w:rPr>
                <w:rFonts w:ascii="Times New Roman" w:hAnsi="Times New Roman"/>
                <w:sz w:val="28"/>
                <w:szCs w:val="28"/>
                <w:lang w:val="sq-AL"/>
              </w:rPr>
              <w:t>20 ditë pune</w:t>
            </w:r>
            <w:r w:rsidR="00F04DE4" w:rsidRPr="005C63B4">
              <w:rPr>
                <w:rFonts w:ascii="Times New Roman" w:hAnsi="Times New Roman"/>
                <w:sz w:val="28"/>
                <w:szCs w:val="28"/>
                <w:lang w:val="sq-AL"/>
              </w:rPr>
              <w:t xml:space="preserve">, </w:t>
            </w:r>
            <w:r w:rsidR="001077A7" w:rsidRPr="005C63B4">
              <w:rPr>
                <w:rFonts w:ascii="Times New Roman" w:hAnsi="Times New Roman"/>
                <w:sz w:val="28"/>
                <w:szCs w:val="28"/>
                <w:lang w:val="sq-AL"/>
              </w:rPr>
              <w:t xml:space="preserve">duke filluar nga data </w:t>
            </w:r>
            <w:r w:rsidR="009713D0" w:rsidRPr="005C63B4">
              <w:rPr>
                <w:rFonts w:ascii="Times New Roman" w:hAnsi="Times New Roman"/>
                <w:sz w:val="28"/>
                <w:szCs w:val="28"/>
                <w:lang w:val="sq-AL"/>
              </w:rPr>
              <w:t>2</w:t>
            </w:r>
            <w:r w:rsidR="003C4ADD">
              <w:rPr>
                <w:rFonts w:ascii="Times New Roman" w:hAnsi="Times New Roman"/>
                <w:bCs/>
                <w:sz w:val="28"/>
                <w:szCs w:val="28"/>
                <w:lang w:val="sq-AL"/>
              </w:rPr>
              <w:t>2</w:t>
            </w:r>
            <w:r w:rsidR="009713D0" w:rsidRPr="005C63B4">
              <w:rPr>
                <w:rFonts w:ascii="Times New Roman" w:hAnsi="Times New Roman"/>
                <w:bCs/>
                <w:sz w:val="28"/>
                <w:szCs w:val="28"/>
                <w:lang w:val="sq-AL"/>
              </w:rPr>
              <w:t xml:space="preserve"> Prill 2026</w:t>
            </w:r>
            <w:r w:rsidR="000A0329" w:rsidRPr="005C63B4">
              <w:rPr>
                <w:rFonts w:ascii="Times New Roman" w:hAnsi="Times New Roman"/>
                <w:bCs/>
                <w:sz w:val="28"/>
                <w:szCs w:val="28"/>
                <w:lang w:val="sq-AL"/>
              </w:rPr>
              <w:t>.</w:t>
            </w:r>
          </w:p>
        </w:tc>
      </w:tr>
    </w:tbl>
    <w:p w14:paraId="29B33FD3" w14:textId="77777777" w:rsidR="008675CA" w:rsidRPr="005C63B4" w:rsidRDefault="008675CA" w:rsidP="00D54A64">
      <w:pPr>
        <w:pStyle w:val="BodyText"/>
        <w:spacing w:after="0"/>
        <w:jc w:val="both"/>
        <w:rPr>
          <w:rFonts w:ascii="Times New Roman" w:hAnsi="Times New Roman"/>
          <w:sz w:val="28"/>
          <w:szCs w:val="28"/>
          <w:lang w:val="sq-AL"/>
        </w:rPr>
      </w:pPr>
    </w:p>
    <w:p w14:paraId="5CA45918"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5017327A" w14:textId="77777777" w:rsidTr="00957E1F">
        <w:tc>
          <w:tcPr>
            <w:tcW w:w="9212" w:type="dxa"/>
          </w:tcPr>
          <w:p w14:paraId="2F52FF42" w14:textId="77777777" w:rsidR="006B5C5F" w:rsidRPr="005C63B4" w:rsidRDefault="006B5C5F" w:rsidP="00D54A64">
            <w:pPr>
              <w:widowControl w:val="0"/>
              <w:tabs>
                <w:tab w:val="left" w:pos="384"/>
              </w:tabs>
              <w:autoSpaceDE w:val="0"/>
              <w:autoSpaceDN w:val="0"/>
              <w:ind w:right="117"/>
              <w:jc w:val="both"/>
              <w:rPr>
                <w:rFonts w:ascii="Times New Roman" w:hAnsi="Times New Roman"/>
                <w:bCs/>
                <w:color w:val="000000"/>
                <w:sz w:val="28"/>
                <w:szCs w:val="28"/>
                <w:bdr w:val="none" w:sz="0" w:space="0" w:color="auto" w:frame="1"/>
                <w:shd w:val="clear" w:color="auto" w:fill="FFFFFF"/>
                <w:lang w:val="sq-AL"/>
              </w:rPr>
            </w:pPr>
          </w:p>
          <w:p w14:paraId="529BFC83" w14:textId="1C91ED70" w:rsidR="00D44114" w:rsidRPr="005C63B4" w:rsidRDefault="00D44114" w:rsidP="00D54A64">
            <w:pPr>
              <w:widowControl w:val="0"/>
              <w:autoSpaceDE w:val="0"/>
              <w:autoSpaceDN w:val="0"/>
              <w:spacing w:before="156" w:line="276" w:lineRule="auto"/>
              <w:ind w:right="354"/>
              <w:jc w:val="both"/>
              <w:rPr>
                <w:rFonts w:ascii="Times New Roman" w:hAnsi="Times New Roman"/>
                <w:sz w:val="28"/>
                <w:szCs w:val="28"/>
                <w:lang w:val="sq-AL"/>
              </w:rPr>
            </w:pPr>
            <w:r w:rsidRPr="005C63B4">
              <w:rPr>
                <w:rFonts w:ascii="Times New Roman" w:hAnsi="Times New Roman"/>
                <w:bCs/>
                <w:sz w:val="28"/>
                <w:szCs w:val="28"/>
                <w:lang w:val="de-DE"/>
              </w:rPr>
              <w:lastRenderedPageBreak/>
              <w:t xml:space="preserve">Qëllimi i projektligjit "Për sektorin e energjisë elektrike", </w:t>
            </w:r>
            <w:r w:rsidRPr="005C63B4">
              <w:rPr>
                <w:rFonts w:ascii="Times New Roman" w:hAnsi="Times New Roman"/>
                <w:spacing w:val="-4"/>
                <w:sz w:val="28"/>
                <w:szCs w:val="28"/>
                <w:lang w:val="sq-AL"/>
              </w:rPr>
              <w:t>është</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garantimi</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i</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furnizimit</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të</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qëndrueshëm</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dhe</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të</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sigurtë</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me</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energji</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elektrike</w:t>
            </w:r>
            <w:r w:rsidRPr="005C63B4">
              <w:rPr>
                <w:rFonts w:ascii="Times New Roman" w:hAnsi="Times New Roman"/>
                <w:spacing w:val="-11"/>
                <w:sz w:val="28"/>
                <w:szCs w:val="28"/>
                <w:lang w:val="sq-AL"/>
              </w:rPr>
              <w:t xml:space="preserve"> </w:t>
            </w:r>
            <w:r w:rsidRPr="005C63B4">
              <w:rPr>
                <w:rFonts w:ascii="Times New Roman" w:hAnsi="Times New Roman"/>
                <w:spacing w:val="-4"/>
                <w:sz w:val="28"/>
                <w:szCs w:val="28"/>
                <w:lang w:val="sq-AL"/>
              </w:rPr>
              <w:t xml:space="preserve">të </w:t>
            </w:r>
            <w:r w:rsidRPr="005C63B4">
              <w:rPr>
                <w:rFonts w:ascii="Times New Roman" w:hAnsi="Times New Roman"/>
                <w:spacing w:val="-8"/>
                <w:sz w:val="28"/>
                <w:szCs w:val="28"/>
                <w:lang w:val="sq-AL"/>
              </w:rPr>
              <w:t>klientëve,</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nëpërmjet</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krijimit</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të</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një</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tregu</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funksional</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dhe</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konkurrues</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të</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energjisë</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elektrike,</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duke</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marrë</w:t>
            </w:r>
            <w:r w:rsidRPr="005C63B4">
              <w:rPr>
                <w:rFonts w:ascii="Times New Roman" w:hAnsi="Times New Roman"/>
                <w:sz w:val="28"/>
                <w:szCs w:val="28"/>
                <w:lang w:val="sq-AL"/>
              </w:rPr>
              <w:t xml:space="preserve"> </w:t>
            </w:r>
            <w:r w:rsidRPr="005C63B4">
              <w:rPr>
                <w:rFonts w:ascii="Times New Roman" w:hAnsi="Times New Roman"/>
                <w:spacing w:val="-8"/>
                <w:sz w:val="28"/>
                <w:szCs w:val="28"/>
                <w:lang w:val="sq-AL"/>
              </w:rPr>
              <w:t xml:space="preserve">në </w:t>
            </w:r>
            <w:r w:rsidRPr="005C63B4">
              <w:rPr>
                <w:rFonts w:ascii="Times New Roman" w:hAnsi="Times New Roman"/>
                <w:spacing w:val="-2"/>
                <w:sz w:val="28"/>
                <w:szCs w:val="28"/>
                <w:lang w:val="sq-AL"/>
              </w:rPr>
              <w:t>konsideratë</w:t>
            </w:r>
            <w:r w:rsidRPr="005C63B4">
              <w:rPr>
                <w:rFonts w:ascii="Times New Roman" w:hAnsi="Times New Roman"/>
                <w:spacing w:val="-15"/>
                <w:sz w:val="28"/>
                <w:szCs w:val="28"/>
                <w:lang w:val="sq-AL"/>
              </w:rPr>
              <w:t xml:space="preserve"> </w:t>
            </w:r>
            <w:r w:rsidRPr="005C63B4">
              <w:rPr>
                <w:rFonts w:ascii="Times New Roman" w:hAnsi="Times New Roman"/>
                <w:spacing w:val="-2"/>
                <w:sz w:val="28"/>
                <w:szCs w:val="28"/>
                <w:lang w:val="sq-AL"/>
              </w:rPr>
              <w:t>interesat</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klientëve,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sigurinë</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cilësinë</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shërbimit</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të</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furnizimit</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me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energji</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elektrike</w:t>
            </w:r>
            <w:r w:rsidRPr="005C63B4">
              <w:rPr>
                <w:rFonts w:ascii="Times New Roman" w:hAnsi="Times New Roman"/>
                <w:spacing w:val="-13"/>
                <w:sz w:val="28"/>
                <w:szCs w:val="28"/>
                <w:lang w:val="sq-AL"/>
              </w:rPr>
              <w:t xml:space="preserve"> </w:t>
            </w:r>
            <w:r w:rsidRPr="005C63B4">
              <w:rPr>
                <w:rFonts w:ascii="Times New Roman" w:hAnsi="Times New Roman"/>
                <w:spacing w:val="-2"/>
                <w:sz w:val="28"/>
                <w:szCs w:val="28"/>
                <w:lang w:val="sq-AL"/>
              </w:rPr>
              <w:t>dhe kërkesat</w:t>
            </w:r>
            <w:r w:rsidRPr="005C63B4">
              <w:rPr>
                <w:rFonts w:ascii="Times New Roman" w:hAnsi="Times New Roman"/>
                <w:spacing w:val="-10"/>
                <w:sz w:val="28"/>
                <w:szCs w:val="28"/>
                <w:lang w:val="sq-AL"/>
              </w:rPr>
              <w:t xml:space="preserve"> </w:t>
            </w:r>
            <w:r w:rsidRPr="005C63B4">
              <w:rPr>
                <w:rFonts w:ascii="Times New Roman" w:hAnsi="Times New Roman"/>
                <w:spacing w:val="-2"/>
                <w:sz w:val="28"/>
                <w:szCs w:val="28"/>
                <w:lang w:val="sq-AL"/>
              </w:rPr>
              <w:t>për</w:t>
            </w:r>
            <w:r w:rsidRPr="005C63B4">
              <w:rPr>
                <w:rFonts w:ascii="Times New Roman" w:hAnsi="Times New Roman"/>
                <w:spacing w:val="-10"/>
                <w:sz w:val="28"/>
                <w:szCs w:val="28"/>
                <w:lang w:val="sq-AL"/>
              </w:rPr>
              <w:t xml:space="preserve"> </w:t>
            </w:r>
            <w:r w:rsidRPr="005C63B4">
              <w:rPr>
                <w:rFonts w:ascii="Times New Roman" w:hAnsi="Times New Roman"/>
                <w:spacing w:val="-2"/>
                <w:sz w:val="28"/>
                <w:szCs w:val="28"/>
                <w:lang w:val="sq-AL"/>
              </w:rPr>
              <w:t>mbrojtjen</w:t>
            </w:r>
            <w:r w:rsidRPr="005C63B4">
              <w:rPr>
                <w:rFonts w:ascii="Times New Roman" w:hAnsi="Times New Roman"/>
                <w:spacing w:val="-10"/>
                <w:sz w:val="28"/>
                <w:szCs w:val="28"/>
                <w:lang w:val="sq-AL"/>
              </w:rPr>
              <w:t xml:space="preserve"> </w:t>
            </w:r>
            <w:r w:rsidRPr="005C63B4">
              <w:rPr>
                <w:rFonts w:ascii="Times New Roman" w:hAnsi="Times New Roman"/>
                <w:spacing w:val="-2"/>
                <w:sz w:val="28"/>
                <w:szCs w:val="28"/>
                <w:lang w:val="sq-AL"/>
              </w:rPr>
              <w:t>e</w:t>
            </w:r>
            <w:r w:rsidRPr="005C63B4">
              <w:rPr>
                <w:rFonts w:ascii="Times New Roman" w:hAnsi="Times New Roman"/>
                <w:spacing w:val="-10"/>
                <w:sz w:val="28"/>
                <w:szCs w:val="28"/>
                <w:lang w:val="sq-AL"/>
              </w:rPr>
              <w:t xml:space="preserve"> </w:t>
            </w:r>
            <w:r w:rsidRPr="005C63B4">
              <w:rPr>
                <w:rFonts w:ascii="Times New Roman" w:hAnsi="Times New Roman"/>
                <w:spacing w:val="-2"/>
                <w:sz w:val="28"/>
                <w:szCs w:val="28"/>
                <w:lang w:val="sq-AL"/>
              </w:rPr>
              <w:t xml:space="preserve">mjedisit </w:t>
            </w:r>
            <w:r w:rsidRPr="005C63B4">
              <w:rPr>
                <w:rFonts w:ascii="Times New Roman" w:hAnsi="Times New Roman"/>
                <w:sz w:val="28"/>
                <w:szCs w:val="28"/>
                <w:lang w:val="sq-AL"/>
              </w:rPr>
              <w:t>dhe nevoja për të integruar tregun shqiptar të energjisë elektrike me tregjet e tjera rajonale të energjisë elektrike dhe tregun e integruar evropian të energjisë elektrike. Duke vepruar kështu, ligji do të promovojë çmime dhe kosto të përballueshme e transparente të energjisë për konsumatorët, do të rrisë të drejtat dhe mbrojtjen e tyre, do të promovojë efikasitetin energjetik dhe do të sigurojë një tranzicion të qetë drejt një sistemi energjetik të qëndrueshëm me karbon të ulët.</w:t>
            </w:r>
          </w:p>
          <w:p w14:paraId="558BDD99" w14:textId="77777777" w:rsidR="008B26AE" w:rsidRPr="005C63B4" w:rsidRDefault="008B26AE" w:rsidP="00D54A64">
            <w:pPr>
              <w:widowControl w:val="0"/>
              <w:autoSpaceDE w:val="0"/>
              <w:autoSpaceDN w:val="0"/>
              <w:spacing w:before="156" w:line="276" w:lineRule="auto"/>
              <w:ind w:right="354"/>
              <w:jc w:val="both"/>
              <w:rPr>
                <w:rFonts w:ascii="Times New Roman" w:hAnsi="Times New Roman"/>
                <w:sz w:val="28"/>
                <w:szCs w:val="28"/>
                <w:lang w:val="sq-AL"/>
              </w:rPr>
            </w:pPr>
          </w:p>
          <w:p w14:paraId="000D2EC1" w14:textId="77777777" w:rsidR="00D44114" w:rsidRPr="005C63B4" w:rsidRDefault="00D44114" w:rsidP="00D54A64">
            <w:pPr>
              <w:spacing w:line="276" w:lineRule="auto"/>
              <w:jc w:val="both"/>
              <w:rPr>
                <w:rFonts w:ascii="Times New Roman" w:eastAsia="Calibri" w:hAnsi="Times New Roman"/>
                <w:bCs/>
                <w:sz w:val="28"/>
                <w:szCs w:val="28"/>
                <w:lang w:val="de-DE"/>
              </w:rPr>
            </w:pPr>
            <w:r w:rsidRPr="005C63B4">
              <w:rPr>
                <w:rFonts w:ascii="Times New Roman" w:eastAsia="Calibri" w:hAnsi="Times New Roman"/>
                <w:bCs/>
                <w:sz w:val="28"/>
                <w:szCs w:val="28"/>
                <w:lang w:val="de-DE"/>
              </w:rPr>
              <w:t>Objektivat konkrete që synon të arrijë projektligji janë si më poshtë:</w:t>
            </w:r>
          </w:p>
          <w:p w14:paraId="14C76374"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 xml:space="preserve">Përafrimi i legjislacionit vendor me </w:t>
            </w:r>
            <w:r w:rsidRPr="005C63B4">
              <w:rPr>
                <w:rFonts w:ascii="Times New Roman" w:eastAsia="Calibri" w:hAnsi="Times New Roman"/>
                <w:b/>
                <w:i/>
                <w:iCs/>
                <w:sz w:val="28"/>
                <w:szCs w:val="28"/>
                <w:lang w:val="de-DE"/>
              </w:rPr>
              <w:t>acquis communautaire</w:t>
            </w:r>
            <w:r w:rsidRPr="005C63B4">
              <w:rPr>
                <w:rFonts w:ascii="Times New Roman" w:eastAsia="Calibri" w:hAnsi="Times New Roman"/>
                <w:bCs/>
                <w:sz w:val="28"/>
                <w:szCs w:val="28"/>
                <w:lang w:val="de-DE"/>
              </w:rPr>
              <w:t xml:space="preserve">: Përafrimi i legjislacionit vendor me </w:t>
            </w:r>
            <w:r w:rsidRPr="005C63B4">
              <w:rPr>
                <w:rFonts w:ascii="Times New Roman" w:eastAsia="Calibri" w:hAnsi="Times New Roman"/>
                <w:bCs/>
                <w:i/>
                <w:iCs/>
                <w:sz w:val="28"/>
                <w:szCs w:val="28"/>
                <w:lang w:val="de-DE"/>
              </w:rPr>
              <w:t>acquis</w:t>
            </w:r>
            <w:r w:rsidRPr="005C63B4">
              <w:rPr>
                <w:rFonts w:ascii="Times New Roman" w:eastAsia="Calibri" w:hAnsi="Times New Roman"/>
                <w:bCs/>
                <w:sz w:val="28"/>
                <w:szCs w:val="28"/>
                <w:lang w:val="de-DE"/>
              </w:rPr>
              <w:t>-n të BE-së për të siguruar përputhjen dhe integrimin me standardet evropiane.</w:t>
            </w:r>
          </w:p>
          <w:p w14:paraId="403F271A"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Krijimi i një kuadri ligjor mbështetës</w:t>
            </w:r>
            <w:r w:rsidRPr="005C63B4">
              <w:rPr>
                <w:rFonts w:ascii="Times New Roman" w:eastAsia="Calibri" w:hAnsi="Times New Roman"/>
                <w:bCs/>
                <w:sz w:val="28"/>
                <w:szCs w:val="28"/>
                <w:lang w:val="de-DE"/>
              </w:rPr>
              <w:t>: Krijimi i një kuadri ligjor që promovon masa dhe mekanizma që synojnë inkurajimin e prodhimit të decentralizuar të energjisë elektrike nga burimet e rinovueshme, ngritjen e depozitimit të energjisë dhe instalimin e objekteve rikarikuese.</w:t>
            </w:r>
          </w:p>
          <w:p w14:paraId="51CBE881"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Mbështetja e modeleve inovative të biznesit</w:t>
            </w:r>
            <w:r w:rsidRPr="005C63B4">
              <w:rPr>
                <w:rFonts w:ascii="Times New Roman" w:eastAsia="Calibri" w:hAnsi="Times New Roman"/>
                <w:bCs/>
                <w:sz w:val="28"/>
                <w:szCs w:val="28"/>
                <w:lang w:val="de-DE"/>
              </w:rPr>
              <w:t xml:space="preserve">: Lehtësimi i përhapjes së modeleve inovuese të biznesit që lidhen me prodhimin e decentralizuar të energjisë elektrike, furnizimin me energji elektrike </w:t>
            </w:r>
            <w:r w:rsidRPr="005C63B4">
              <w:rPr>
                <w:rFonts w:ascii="Times New Roman" w:eastAsia="Calibri" w:hAnsi="Times New Roman"/>
                <w:bCs/>
                <w:i/>
                <w:iCs/>
                <w:sz w:val="28"/>
                <w:szCs w:val="28"/>
                <w:lang w:val="de-DE"/>
              </w:rPr>
              <w:t>peer-to-peer</w:t>
            </w:r>
            <w:r w:rsidRPr="005C63B4">
              <w:rPr>
                <w:rFonts w:ascii="Times New Roman" w:eastAsia="Calibri" w:hAnsi="Times New Roman"/>
                <w:bCs/>
                <w:sz w:val="28"/>
                <w:szCs w:val="28"/>
                <w:lang w:val="de-DE"/>
              </w:rPr>
              <w:t xml:space="preserve"> ose drejtpërdrejt (ndarja e energjisë elektrike) dhe përgjigjen ndaj kërkesës së tregut.</w:t>
            </w:r>
          </w:p>
          <w:p w14:paraId="16A37F3F"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Mundësimi i sinjaleve të tregut</w:t>
            </w:r>
            <w:r w:rsidRPr="005C63B4">
              <w:rPr>
                <w:rFonts w:ascii="Times New Roman" w:eastAsia="Calibri" w:hAnsi="Times New Roman"/>
                <w:bCs/>
                <w:sz w:val="28"/>
                <w:szCs w:val="28"/>
                <w:lang w:val="de-DE"/>
              </w:rPr>
              <w:t>: Të sigurohet që sinjalet e tregut të jepen për të promovuar rritjen e efikasitetit, një pjesë më të madhe të burimeve të rinovueshme të energjisë, sigurinë e furnizimit, fleksibilitetin, qëndrueshmërinë, dekarbonizimin dhe inovacionin.</w:t>
            </w:r>
          </w:p>
          <w:p w14:paraId="19555A52"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Ruajtja e çmimeve të rregulluara të energjisë elektrike</w:t>
            </w:r>
            <w:r w:rsidRPr="005C63B4">
              <w:rPr>
                <w:rFonts w:ascii="Times New Roman" w:eastAsia="Calibri" w:hAnsi="Times New Roman"/>
                <w:bCs/>
                <w:sz w:val="28"/>
                <w:szCs w:val="28"/>
                <w:lang w:val="de-DE"/>
              </w:rPr>
              <w:t xml:space="preserve">: Krijimi i një kuadri ligjor që ruan çmimet e rregulluara të energjisë elektrike për klientët në nevojë, klientët familjarë dhe ndërmarrjet e vogla në përputhje me </w:t>
            </w:r>
            <w:r w:rsidRPr="005C63B4">
              <w:rPr>
                <w:rFonts w:ascii="Times New Roman" w:eastAsia="Calibri" w:hAnsi="Times New Roman"/>
                <w:bCs/>
                <w:i/>
                <w:iCs/>
                <w:sz w:val="28"/>
                <w:szCs w:val="28"/>
                <w:lang w:val="de-DE"/>
              </w:rPr>
              <w:t>acquis</w:t>
            </w:r>
            <w:r w:rsidRPr="005C63B4">
              <w:rPr>
                <w:rFonts w:ascii="Times New Roman" w:eastAsia="Calibri" w:hAnsi="Times New Roman"/>
                <w:bCs/>
                <w:sz w:val="28"/>
                <w:szCs w:val="28"/>
                <w:lang w:val="de-DE"/>
              </w:rPr>
              <w:t>-n e BE-së.</w:t>
            </w:r>
          </w:p>
          <w:p w14:paraId="7A76CBBC"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Vendosja e rregullave të drejta për shkëmbimet ndërkufitare</w:t>
            </w:r>
            <w:r w:rsidRPr="005C63B4">
              <w:rPr>
                <w:rFonts w:ascii="Times New Roman" w:eastAsia="Calibri" w:hAnsi="Times New Roman"/>
                <w:bCs/>
                <w:sz w:val="28"/>
                <w:szCs w:val="28"/>
                <w:lang w:val="de-DE"/>
              </w:rPr>
              <w:t>: Vendosja e rregullave të drejta për shkëmbimet ndërkufitare të energjisë elektrike për të rritur konkurrencën brenda tregut të brendshëm për energjinë elektrike, duke mbajtur parasysh karakteristikat specifike të tregut shqiptar të energjisë elektrike.</w:t>
            </w:r>
          </w:p>
          <w:p w14:paraId="3A72E43B"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lastRenderedPageBreak/>
              <w:t>Krijimi i tregjeve të integruara dhe konkurruese</w:t>
            </w:r>
            <w:r w:rsidRPr="005C63B4">
              <w:rPr>
                <w:rFonts w:ascii="Times New Roman" w:eastAsia="Calibri" w:hAnsi="Times New Roman"/>
                <w:bCs/>
                <w:sz w:val="28"/>
                <w:szCs w:val="28"/>
                <w:lang w:val="de-DE"/>
              </w:rPr>
              <w:t>: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64AA8BDD"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Sigurimi i çmimeve të përballueshme dhe transparente të energjisë</w:t>
            </w:r>
            <w:r w:rsidRPr="005C63B4">
              <w:rPr>
                <w:rFonts w:ascii="Times New Roman" w:eastAsia="Calibri" w:hAnsi="Times New Roman"/>
                <w:bCs/>
                <w:sz w:val="28"/>
                <w:szCs w:val="28"/>
                <w:lang w:val="de-DE"/>
              </w:rPr>
              <w:t>: Garantimi i çmimeve dhe kostove të përballueshme, transparente të energjisë për konsumatorët, i një shkalle të lartë sigurie furnizimi dhe të një tranzicioni të qetë drejt një sistemi të qëndrueshëm energjie me karbon të ulët.</w:t>
            </w:r>
          </w:p>
          <w:p w14:paraId="7DC494B8"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Menaxhimi i krizave të energjisë elektrike</w:t>
            </w:r>
            <w:r w:rsidRPr="005C63B4">
              <w:rPr>
                <w:rFonts w:ascii="Times New Roman" w:eastAsia="Calibri" w:hAnsi="Times New Roman"/>
                <w:bCs/>
                <w:sz w:val="28"/>
                <w:szCs w:val="28"/>
                <w:lang w:val="de-DE"/>
              </w:rPr>
              <w:t>: Parandalimi, përgatitja dhe administrimi i krizave të energjisë elektrike në frymën e solidaritetit dhe transparencës, duke respektuar plotësisht kërkesat e një tregu të brendshëm konkurrues për energjinë elektrike.</w:t>
            </w:r>
          </w:p>
          <w:p w14:paraId="798A4536" w14:textId="77777777" w:rsidR="00D44114" w:rsidRPr="005C63B4" w:rsidRDefault="00D44114" w:rsidP="00D54A64">
            <w:pPr>
              <w:numPr>
                <w:ilvl w:val="0"/>
                <w:numId w:val="98"/>
              </w:numPr>
              <w:spacing w:line="276" w:lineRule="auto"/>
              <w:contextualSpacing/>
              <w:jc w:val="both"/>
              <w:rPr>
                <w:rFonts w:ascii="Times New Roman" w:eastAsia="Calibri" w:hAnsi="Times New Roman"/>
                <w:bCs/>
                <w:sz w:val="28"/>
                <w:szCs w:val="28"/>
                <w:lang w:val="de-DE"/>
              </w:rPr>
            </w:pPr>
            <w:r w:rsidRPr="005C63B4">
              <w:rPr>
                <w:rFonts w:ascii="Times New Roman" w:eastAsia="Calibri" w:hAnsi="Times New Roman"/>
                <w:b/>
                <w:sz w:val="28"/>
                <w:szCs w:val="28"/>
                <w:lang w:val="de-DE"/>
              </w:rPr>
              <w:t>Mbështetja e synimeve afatgjata të energjisë dhe klimës</w:t>
            </w:r>
            <w:r w:rsidRPr="005C63B4">
              <w:rPr>
                <w:rFonts w:ascii="Times New Roman" w:eastAsia="Calibri" w:hAnsi="Times New Roman"/>
                <w:bCs/>
                <w:sz w:val="28"/>
                <w:szCs w:val="28"/>
                <w:lang w:val="de-DE"/>
              </w:rPr>
              <w:t>: Krijimi i një kuadri ligjor që mbështet Shqipërinë në arritjen e objektivave të saj afatgjatë të energjisë dhe klimës, duke kontribuar në rritjen ekonomike dhe përmirësimin e standardeve të jetesës.</w:t>
            </w:r>
          </w:p>
          <w:p w14:paraId="7590D3B8" w14:textId="3B5DC870" w:rsidR="00154067" w:rsidRPr="005C63B4" w:rsidRDefault="00154067" w:rsidP="00D54A64">
            <w:pPr>
              <w:pStyle w:val="ListParagraph"/>
              <w:tabs>
                <w:tab w:val="clear" w:pos="567"/>
              </w:tabs>
              <w:spacing w:after="0"/>
              <w:ind w:left="720" w:firstLine="0"/>
              <w:contextualSpacing/>
              <w:jc w:val="both"/>
              <w:rPr>
                <w:rFonts w:ascii="Times New Roman" w:hAnsi="Times New Roman"/>
                <w:sz w:val="28"/>
                <w:szCs w:val="28"/>
                <w:lang w:val="de-DE"/>
              </w:rPr>
            </w:pPr>
          </w:p>
        </w:tc>
      </w:tr>
    </w:tbl>
    <w:p w14:paraId="671DF514" w14:textId="2DED9CB9" w:rsidR="00E54C97" w:rsidRPr="005C63B4" w:rsidRDefault="00E54C97" w:rsidP="00D54A64">
      <w:pPr>
        <w:pStyle w:val="BodyText"/>
        <w:spacing w:after="0"/>
        <w:jc w:val="both"/>
        <w:rPr>
          <w:rFonts w:ascii="Times New Roman" w:hAnsi="Times New Roman"/>
          <w:sz w:val="28"/>
          <w:szCs w:val="28"/>
          <w:lang w:val="sq-AL"/>
        </w:rPr>
      </w:pPr>
    </w:p>
    <w:p w14:paraId="034FED24"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59FC2C08" w14:textId="77777777" w:rsidTr="00957E1F">
        <w:tc>
          <w:tcPr>
            <w:tcW w:w="9212" w:type="dxa"/>
          </w:tcPr>
          <w:p w14:paraId="39716602" w14:textId="77777777" w:rsidR="003454C0" w:rsidRDefault="003454C0"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4A5CA4BD" w14:textId="51C62474" w:rsidR="008B26AE" w:rsidRPr="003454C0" w:rsidRDefault="008B26AE" w:rsidP="00D54A64">
            <w:pPr>
              <w:widowControl w:val="0"/>
              <w:autoSpaceDE w:val="0"/>
              <w:autoSpaceDN w:val="0"/>
              <w:ind w:right="72"/>
              <w:jc w:val="both"/>
              <w:rPr>
                <w:rFonts w:ascii="Times New Roman" w:hAnsi="Times New Roman"/>
                <w:sz w:val="28"/>
                <w:szCs w:val="28"/>
                <w:lang w:val="sq-AL"/>
              </w:rPr>
            </w:pPr>
            <w:r w:rsidRPr="003454C0">
              <w:rPr>
                <w:rFonts w:ascii="Times New Roman" w:hAnsi="Times New Roman"/>
                <w:sz w:val="28"/>
                <w:szCs w:val="28"/>
                <w:lang w:val="sq-AL"/>
              </w:rPr>
              <w:t>Projektligji ndahet në dhjetë pjesë. Një përmbledhje e propozimeve kryesore të paraqitura nga projektligji paraqitet më poshtë, e organizuar sipas pjesëve dhe neneve të projektligjit.</w:t>
            </w:r>
          </w:p>
          <w:p w14:paraId="1E942A2F" w14:textId="77777777" w:rsidR="005C63B4" w:rsidRPr="005C63B4" w:rsidRDefault="005C63B4"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5F28C95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PARË “DISPOZITAT E PËRGJITHSHME”</w:t>
            </w:r>
          </w:p>
          <w:p w14:paraId="3AC0F0E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Nenet 1-2 përcaktojnë qëllimin dhe objektin e projektligjit në përputhje me acquis-n e BE-së. Zgjerimi i objektit përfshin rregullimin e aktiviteteve të tilla si agregimin, përgjigjen ndaj kërkesës së tregut, funksionimin e tregut, depozitimin e energjisë dhe operimi i pikave të rikarikimit. </w:t>
            </w:r>
          </w:p>
          <w:p w14:paraId="16E7007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3 përcakton, përkufizimet e nevojshme duke inkorporuar përkufizime shtesë përvec atyre të ligjit në fuqi, si dhe janë rishikuar disa përkufizime ekzistuese. Disa përkufizime ekzistuese, së bashku me termat e futura rishtazi, janë rishikuar për të pasqyruar rekomandimet e subjekteve të interesuara, duke përfshirë, për shembull, ndryshimet në përkufizimet e pjesëmarrësit në tregun e energjisë elektrike, rregullat e tregut dhe të kleringut. Projektligji përfshin përkufizimet e reja të mëposhtme: përgjigjen ndaj kërkesës së tregut, efiçencën e energjisë, interkonektorin e rrymës së drejtpërdrejtë, interkonektorin e rrymës alternative, klientin aktiv, ndërmarrjet mikro, të vogla dhe të mesme, operatorin e nominuar të tregut të energjisë elektrike (NEMO), energjinë balancuese, kapacitetin balancues, Ligjin për Energjinë e Rinovueshme, </w:t>
            </w:r>
            <w:r w:rsidRPr="005C63B4">
              <w:rPr>
                <w:rFonts w:ascii="Times New Roman" w:hAnsi="Times New Roman"/>
                <w:sz w:val="28"/>
                <w:szCs w:val="28"/>
                <w:lang w:val="sq-AL"/>
              </w:rPr>
              <w:lastRenderedPageBreak/>
              <w:t>shërbimin ndihmës jo frekuent, tregun e derivativëve të energjisë elektrike, shlyerjet, ACER, kontratën për çmimin dinamike të energjisë elektrike, agregatorin, agregimin, depozitimi e energjisë, hapësirën e depozitimit të energjisë, operimin e hapësirës të depozitimit të energjisë, komuniteti i qytetarëve të energjisë, komponentët e rrjetit plotësisht të integruar, rishitja e energjisë elektrike, ndarja e energjisë elektrike, matësi konvencional, kongjestioni, ndërveprueshmëria (interoperabiliteti), pika e rikarimit, operimi i pikës së rikarikimit, operatori i pikës së rikarikimit, fluksi ndërkufitare, kongjetsioni strukturor, procesin e parakualifikimit, kapacitetin rezervë, dispereçimin prioritar, projekti demonstrues, ridispeçerimin, zonën e ofertave, shpërndarjen e kapacitetit, kapacitetin ndërzonal, Rajonin e Sistemit të Operimit (RSO), Qendrën Rajonale të Koordinimit (QRK), Rregulloren (BE) 2019/943, dhe kushtet për çmimet maksimale.</w:t>
            </w:r>
          </w:p>
          <w:p w14:paraId="3709F60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DYTË “POLITIKAT E SEKTORIT TË ENERGJISË ELEKTRIKE”</w:t>
            </w:r>
          </w:p>
          <w:p w14:paraId="14303CB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4 reflekton rregullat evropiane dhe kombëtare të vlerësimit të mjaftueshmërisë së burimeve. Detyrimet në lidhje me vlerësimin e mjaftueshmërisë së burimeve kombëtare i jepen Ministrisë, siç u rekomandua gjatë konsultimeve me subjeketet e interesuara. Me vendim të Këshillit të Ministrave, do të vendosen rregulla të detajuara në lidhje me vlerësimin e mjaftueshmërisë së burimeve kombëtare.</w:t>
            </w:r>
          </w:p>
          <w:p w14:paraId="1997027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5, përcakton ndwr të tjera se çdo person fizik ose juridik që prodhon, depoziton, transmeton, shpërndan, importon, eksporton, furnizon energji elektrike ose ushtron operimin e agregimit ose të pikës së rikarikimit është i detyruar të paraqesë pranë ministrisë përgjegjëse për energjinë të dhëna lidhur me veprimtarinë e tij, me qëllim hartimin e politikave të zhvillimit të sektorit energjetik dhe komunikimin me institucionet e specializuara, në kuadrin e angazhimeve ndërkombëtare të Shqipërisë, si dhe përgatitjen dhe publikimin e bilancit vjetor energjetik. Ministri përgjegjës për energjinë miraton mënyrën dhe formatin e raportimit të të dhënave.</w:t>
            </w:r>
          </w:p>
          <w:p w14:paraId="514666F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14E92CD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TRETË “SIGURIA E FURNIZIMIT”</w:t>
            </w:r>
          </w:p>
          <w:p w14:paraId="5069C11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6 përcakton rregulla dhe përgjegjësi në lidhje me planifikimin e gatishmërisë ndaj riskut dhe të menaxhimit të tij. Ministria është caktuar si autoriteti për menaxhimin e riskut; të cilës i kërkohet gjithashtu të përgatisë planin e gatishmërisë ndaj riskut, siç u kërkua në komentet e subjekteve të interesuara. Afati i fundit për miratimin e planit të parë të gatishmërisë ndaj riskut është data 5 janar 2027. Me vendim të Këshillit të Ministrave, do të vendosen rregullat për identifikimin e skenarëve rajonalë dhe kombëtarë të krizës së energjisë elektrike, si dhe vlerësimet e mjaftueshmërisë afatshkurtra dhe sezonale; si dhe procedura e përgatitjes, paraqitjes dhe miratimit të planeve të vlerësimit të riskut.</w:t>
            </w:r>
          </w:p>
          <w:p w14:paraId="0420934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7, përcakton ndër të tjera se Operatori i Sistemit të Transmetimit dhe Operatori i Sistemit të Shpërndarjes hartojnë rregulla specifike që përcaktojnë kërkesat minimale mbi sigurinë dhe operimin e rrjetit, përfshirë kushtet për cilësinë e furnizimit dhe performancës së sigurisë së </w:t>
            </w:r>
            <w:r w:rsidRPr="005C63B4">
              <w:rPr>
                <w:rFonts w:ascii="Times New Roman" w:hAnsi="Times New Roman"/>
                <w:sz w:val="28"/>
                <w:szCs w:val="28"/>
                <w:lang w:val="sq-AL"/>
              </w:rPr>
              <w:lastRenderedPageBreak/>
              <w:t>rrjetit. Gjatë hartimit të tyre, operatorët e sistemit të transmetimit dhe të shpërndarjes konsultohen me grupet e interesit, vendase dhe të huaja. Rregullat e cilësisë së furnizimit dhe performancës së sigurisë së rrjetit miratohen dhe monitorohen nga ERE.</w:t>
            </w:r>
          </w:p>
          <w:p w14:paraId="70BEC60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61C1214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8, përcakton se me qëllim ruajtjen e balancës midis kërkesës për energji elektrike dhe sasisë së disponueshme të energjisë, merren masat si më poshtë:</w:t>
            </w:r>
          </w:p>
          <w:p w14:paraId="4926E6D4" w14:textId="77777777" w:rsidR="008B26AE" w:rsidRPr="005C63B4" w:rsidRDefault="008B26AE" w:rsidP="003941C6">
            <w:pPr>
              <w:pStyle w:val="ListParagraph"/>
              <w:widowControl w:val="0"/>
              <w:tabs>
                <w:tab w:val="clear" w:pos="567"/>
              </w:tabs>
              <w:autoSpaceDE w:val="0"/>
              <w:autoSpaceDN w:val="0"/>
              <w:spacing w:after="0"/>
              <w:ind w:right="72" w:firstLine="573"/>
              <w:jc w:val="both"/>
              <w:rPr>
                <w:rFonts w:ascii="Times New Roman" w:hAnsi="Times New Roman"/>
                <w:sz w:val="28"/>
                <w:szCs w:val="28"/>
                <w:lang w:val="sq-AL"/>
              </w:rPr>
            </w:pPr>
          </w:p>
          <w:p w14:paraId="74722FC6" w14:textId="77777777" w:rsidR="008B26AE" w:rsidRPr="005C63B4" w:rsidRDefault="008B26AE" w:rsidP="003941C6">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w:t>
            </w:r>
            <w:r w:rsidRPr="005C63B4">
              <w:rPr>
                <w:rFonts w:ascii="Times New Roman" w:hAnsi="Times New Roman"/>
                <w:sz w:val="28"/>
                <w:szCs w:val="28"/>
                <w:lang w:val="sq-AL"/>
              </w:rPr>
              <w:tab/>
              <w:t>ERE përcakton rregulla, që mundësojnë dhe nxitin funksionimin e një tregu të hapur, konkurrues dhe jodiskriminues, për prodhimin, shitjen me shumicë dhe furnizimin e energjisë elektrike.</w:t>
            </w:r>
          </w:p>
          <w:p w14:paraId="5B9FBA2F" w14:textId="77777777" w:rsidR="008B26AE" w:rsidRPr="005C63B4" w:rsidRDefault="008B26AE" w:rsidP="003941C6">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w:t>
            </w:r>
            <w:r w:rsidRPr="005C63B4">
              <w:rPr>
                <w:rFonts w:ascii="Times New Roman" w:hAnsi="Times New Roman"/>
                <w:sz w:val="28"/>
                <w:szCs w:val="28"/>
                <w:lang w:val="sq-AL"/>
              </w:rPr>
              <w:tab/>
              <w:t>Operatori i Sistemit të Transmetimit siguron një kapacitet rezervë.</w:t>
            </w:r>
          </w:p>
          <w:p w14:paraId="19B695A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0C974BA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KATËRT “ENTI RREGULLATOR I ENERGJISË (ERE)”</w:t>
            </w:r>
          </w:p>
          <w:p w14:paraId="233E43C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SEKSIONI I ORGANIZIMI</w:t>
            </w:r>
          </w:p>
          <w:p w14:paraId="26BAD14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67FC770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 ERE është institucioni rregullator i sektorit të energjisë elektrike dhe gazit në Shqipëri që drejtohet nga bordi. Bordi përbëhet nga kryetari dhe katër anëtarë.</w:t>
            </w:r>
          </w:p>
          <w:p w14:paraId="5B6F0B4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Rregullorja për organizimin dhe funksionimin e ERE-s hartohet e miratohet nga bordi dhe publikohet në faqen zyrtare të internetit.</w:t>
            </w:r>
          </w:p>
          <w:p w14:paraId="4E10846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 përcakton se ERE është një person juridik publik, i pavarur nga çdo institucion tjetër publik ose privat. Bordi dhe personeli teknik i ERE-s:</w:t>
            </w:r>
          </w:p>
          <w:p w14:paraId="6AB5171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ushtrojnë funksionet e tyre në mënyrë të paanshme dhe transparente;</w:t>
            </w:r>
          </w:p>
          <w:p w14:paraId="404306B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veprojnë në mënyrë të pavarur nga interesat e tregut, nga çdo institucion apo subjekt publik ose privat.</w:t>
            </w:r>
          </w:p>
          <w:p w14:paraId="6664CFD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marrin vendime autonome, në mënyrë të pavarur nga çdo organ politik.</w:t>
            </w:r>
          </w:p>
          <w:p w14:paraId="4486BB5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ERE bashkëpunon me ministrinë dhe me institucionet e tjera publike, për sa u takon çështjeve objekt të këtij ligji që janë në fushën e përgjegjësisë së tyre.</w:t>
            </w:r>
          </w:p>
          <w:p w14:paraId="7FCD7D3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094AE42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11 trajton mandatin e anëtarëve të bordit të ERE-s, duke synuar ruajtjen e funksionalitetit të këtij bordi në rastet e vonesave në emërimin e një anëtari të ri të bordit, siç u rekomandua nga ERE gjatë konsultimeve me subjektet e interesuara. Me akt nënligjor, do të rishikohet dhe përshtatet në përputhje me ndryshimet ligjore veçanërisht, rregullorja e brendshme e organizimit dhe funksionimit të ERE, e miratuar me vendimin nr. 199, datë 27.11.2020, të ERE-s.</w:t>
            </w:r>
          </w:p>
          <w:p w14:paraId="191EA4C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12, përcakton rastet e shkarkimi dhe lirimi nga detyra i kryetarit dhe anëtarëve të bordit</w:t>
            </w:r>
          </w:p>
          <w:p w14:paraId="47A4112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13, parashikon se Kryetari i bordit është administratori i përgjithshëm i ERE-s. Ai është përgjegjës për administrimin e institucionit dhe drejtimin e mbledhjeve të bordit.</w:t>
            </w:r>
          </w:p>
          <w:p w14:paraId="7C32DB1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14, jep parashikime lidhur me Personeli teknik dhe këshilltarët.</w:t>
            </w:r>
          </w:p>
          <w:p w14:paraId="460CA82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15 përcakton rastet e konfliktit të interest.</w:t>
            </w:r>
          </w:p>
          <w:p w14:paraId="6E9A9D4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lastRenderedPageBreak/>
              <w:t>Neni 16 jep parashikimet lidhur me  Mbledhjet dhe vendimet e bordit.</w:t>
            </w:r>
          </w:p>
          <w:p w14:paraId="3C909BD6" w14:textId="4B7BF613"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17 përcakton Buxheti i ERE-s miratohet nga bordi. ERE ka autonomi në përdorimin e buxhetit të tij.</w:t>
            </w:r>
            <w:r w:rsidR="003941C6">
              <w:rPr>
                <w:rFonts w:ascii="Times New Roman" w:hAnsi="Times New Roman"/>
                <w:sz w:val="28"/>
                <w:szCs w:val="28"/>
                <w:lang w:val="sq-AL"/>
              </w:rPr>
              <w:t xml:space="preserve"> </w:t>
            </w:r>
            <w:r w:rsidRPr="005C63B4">
              <w:rPr>
                <w:rFonts w:ascii="Times New Roman" w:hAnsi="Times New Roman"/>
                <w:sz w:val="28"/>
                <w:szCs w:val="28"/>
                <w:lang w:val="sq-AL"/>
              </w:rPr>
              <w:t>Burimet financiare të ERE-s përbëhen nga pagesat rregullatore dhe pagesat e licencave, të miratuara nga ERE.ERE mban llogari të plota për shpenzimet e kryera, në përputhje me legjislacionin në fuqi mbi kontabilitetin.</w:t>
            </w:r>
          </w:p>
          <w:p w14:paraId="12B7421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ERE përcakton dhe miraton pagesën rregullatore që paguhet prej të licencuarve, në përputhje me rregulloren përkatëse.</w:t>
            </w:r>
          </w:p>
          <w:p w14:paraId="1B6EAAD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II “OBJEKTIVAT, PËRGJEGJËSITË DHE TË DREJTAT E ERE-S”</w:t>
            </w:r>
          </w:p>
          <w:p w14:paraId="7F9DE9E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18 ndryshohet për të zgjeruar objektivat e ERE-s duke pasqyruar zgjerimin e objektit të LSE-së. Akti përkatës nënligjor, rregullorja e brendshme e organizimit dhe funksionimit të ERE, miratuar me vendimin nr. 199, datë 27.11.2020, të ERE-s,.do të rishikohet dhe përshtatet në përputhje me ndryshimet ligjore.</w:t>
            </w:r>
          </w:p>
          <w:p w14:paraId="68241CC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19 ndryshohet për të zgjeruar përgjegjësitë e ERE-s. Përgjegjësitë më të rëndësishme përfshijnë: miratimin dhe publikimin e rregullave për kërkesat e ndërveprueshmërisë; ofrimin e pikave të vetme të kontaktit për informacionin për klientin në lidhje me të drejtat, ligjin zbatues dhe mekanizmat e zgjidhjes së mosmarrëveshjeve; sigurimi i aksesit për klientët fundorë në mekanizma të thjeshtë, të drejtë, transparentë, të pavarur, efektivë dhe efikasë për zgjidhjen e mosmarrëveshjeve jashtë gjyqësisht; sigurimin e pajtueshmërisë së të licencuarve me detyrimet e tyre sipas LSE-së, Kodet e Rrjetit, duke përfshirë çështjet ndërkufitare, dhe vendimet e Bordit Rregullator të Komunitetit të Energjisë; miratimin e produkteve dhe procesi i prokurimit për shërbimet ndihmëse; zbatimin e kodeve dhe udhëzimeve të rrjetit të miratuara në nivel të Komunitetit të Energjisë nëpërmjet masave kombëtare ose, kur kërkohet, masave të koordinuara rajonale ose në mbarë Komunitetin e Energjisë; pajtueshmërinë dhe zbatimin e çdo vendimi përkatës të detyrueshëm ligjërisht të Sekretariatit të Komunitetit të Energjisë dhe Bordit Rregullator të Komunitetit të Energjisë; miratimin e rregullores për shpërndarjen e kapaciteteve të interkonjeksionit dhe garantimin që Operatori i Sistemit të Transmetimit (“OST”) të vëjë në dispozicion kapacitetet e interkonjeksionit në masën më të madhe; raportimin vjetor mbi aktivitetet dhe përmbushjen e detyrave tek autoritetet përkatëse kombëtare të Palëve të Komunitetit të Energjisë, Sekretariati i Komunitetit të Energjisë dhe tek Bordi Rregullator i Komunitetit të Energjisë; publikimin e rekomandimeve vjetore në lidhje me përputhshmërinë e çmimeve të ofertës me kërkesat e çmimit të ofertës bazuar në treg, të ofruara pranë Autoritetit të Konkurrencës, sipas rastit; funksionimin e një mjeti krahasues të disponueshëm publik për ofertat e furnitorëve; bashkëpunimin me ACER. Akti përkatës nënligjor, veçanërisht rregullorja e brendshme e organizimit dhe funksionimit të ERE, miratuar me vendimin nr. 199, datë 27.11.2020, të ERE-s, do të rishikohet dhe përshtatet në përputhje ndryshimet ligjore.</w:t>
            </w:r>
          </w:p>
          <w:p w14:paraId="4C71363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20, përcakton në mënyrë specifike të drejtat e ERE.</w:t>
            </w:r>
          </w:p>
          <w:p w14:paraId="2E3ABF9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lastRenderedPageBreak/>
              <w:t>Neni 21,përcakton Parimet e vendosjes së tarifave për operimin dhe shërbimet e rrjetit</w:t>
            </w:r>
          </w:p>
          <w:p w14:paraId="1ED4E03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22, ERE, kur miraton tarifat e transmetimit dhe tarifat e shpërndarjes ose metodologjitë e tyre, merr në konsideratë në mënyrën e duhur raportin e praktikës më të mirë të zhvilluar dhe lëshuar nga Bordi Rregullator i Komunitetit të Energjisë.Metodologjia që shërben si bazë për llogaritjen e tarifave të transmetimit merr në konsideratë kostot e Operatorit të Sistemit të Transmetimit në lidhje me aktivitetet:</w:t>
            </w:r>
          </w:p>
          <w:p w14:paraId="67AB82F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ridispeçërimi dhe tregtimi me kah të kundërt;</w:t>
            </w:r>
          </w:p>
          <w:p w14:paraId="39CB17E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krijimi, ndryshimi dhe operimi i platformave evropiane për procesin e netimit të disbalancave, si dhe mundësimi i shkëmbimit të energjisë balancuese nga rezervat e rivendosjes së frekuencës dhe rezervat zëvendësuese;</w:t>
            </w:r>
          </w:p>
          <w:p w14:paraId="3F6146F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kostot që rrjedhin nga detyrimet e Rregullores për Alokimin e Kapaciteteve Afatgjata;</w:t>
            </w:r>
          </w:p>
          <w:p w14:paraId="11EC859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ç) mekanizmi i Kompensimit të Transmetimit Ndërkufitar (ITC).</w:t>
            </w:r>
          </w:p>
          <w:p w14:paraId="39CCCD9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23, përcakton Tarifat e shpërndarjes duhet të reflektojnë koston duke marrë parasysh përdorimin e rrjetit të shpërndarjes nga përdoruesit, përfshirë klientët aktivë. Tarifat e shpërndarjes mund të përmbajnë elementë të kapacitetit të lidhjes së rrjetit dhe mund të diferencohen bazuar në konsumin e përdoruesve të sistemit ose në profilet e prodhimit. Metodologjia që shërben si bazë për llogaritjen e tarifave të shpërndarjes do të ofrojë stimuj për Operatorin e Sistemit të Shpërndarjes për operimin dhe zhvillimin me kosto sa më eficente të rrjeteve të tij, përfshi dhe prokurimin e shërbimeve. Për këtë qëllim, ERE do të njohë kostot përkatëse si të lejueshme, do t'i përfshijë ato në tarifat e shpërndarjes dhe mund të parashikojë objektiva të performancës në mënyrë që të ofrojë stimuj për operatorët e sistemit të shpërndarjes për të rritur efikasitetin në rrjetet e tyre, duke përfshirë efiçencën e energjisë, fleksibilitetin dhe zhvillimin e rrjeteve inteligjente dhe sistemeve matës inteligjentë.</w:t>
            </w:r>
          </w:p>
          <w:p w14:paraId="00F8D3E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24, përcakton përgjegjësitë monitoruese të ERE-s, duke pasur parasysh zgjerimin e objektit të këtij projektligji. Përgjegjësitë e reja më të rëndësishme përfshijnë monitorimin: e zbatimit të rregullave për menaxhimin e të dhënave dhe kërkesave për ndërveprim; e planeve investuese të OST-së dhe Operatorit të Sistemit të Shpërndarjes (“OSSH”); e performancës së OST dhe OSSH-së në lidhje me zhvillimin e një rrjeti inteligjent që promovon efiçencën e energjisë dhe integrimin e energjisë nga burimet e rinovueshme dhe publikimin e një raporti kombëtar çdo dy vjet; e aplikimit të kontratave dinamike të çmimeve të energjisë elektrike – me zhvillimet përkatëse të tregut; e heqjes së pengesave të pajustifikuara dhe të kufizimeve në zhvillimin e konsumit të energjisë elektrike të vetprodhuar dhe ndaj komuniteteve të qytetarëve të energjisë.</w:t>
            </w:r>
          </w:p>
          <w:p w14:paraId="64E5426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25 përcakton regjimin rregullator për çështjet ndërkufitare.</w:t>
            </w:r>
          </w:p>
          <w:p w14:paraId="4A30E67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26 përcakton ndër të tjera se ERE vepron si autoritet për zgjidhjen e mosmarrëveshjeve në lidhje me ankesat kundër të licencuarve, në përputhje me rregulloren përkatëse të shqyrtimit të mosmarrëveshjeve dhe </w:t>
            </w:r>
            <w:r w:rsidRPr="005C63B4">
              <w:rPr>
                <w:rFonts w:ascii="Times New Roman" w:hAnsi="Times New Roman"/>
                <w:sz w:val="28"/>
                <w:szCs w:val="28"/>
                <w:lang w:val="sq-AL"/>
              </w:rPr>
              <w:lastRenderedPageBreak/>
              <w:t>trajtimit të ankesave.</w:t>
            </w:r>
          </w:p>
          <w:p w14:paraId="5107783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27 jep parashikime tlidhur me Raportimi i ERE-s në Kuvend.</w:t>
            </w:r>
          </w:p>
          <w:p w14:paraId="269BCD4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28 përcakton rregullat dhe parimet e përgjithshme që rregullojnë menaxhimin dhe shkëmbimin e të dhënave të klientëve fundor të përdorimit nga palët e autorizuara. Përfshirja e menaxhimit të të dhënave në përgjegjësinë e Ministrisë, së bashku me fleksibilitetin për t’i dhënë përgjegjësi ERE-s ose një autoriteti tjetër kompetent të caktuar, pasqyron sugjerimet e subjekteve të interesuara. Rregullat e hollësishme, duke përfshirë objektin e të dhënave përkatëse dhe objektin e palëve të autorizuara, etj, do të jepen në legjislacionin nënligjor përkatës.</w:t>
            </w:r>
          </w:p>
          <w:p w14:paraId="421E8A2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PESTË “SISTEMI I ENERGJISË”</w:t>
            </w:r>
          </w:p>
          <w:p w14:paraId="28A631C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SEKSIONI I DISPOZITA TË PËRGJITHSHME</w:t>
            </w:r>
          </w:p>
          <w:p w14:paraId="0AD0DA6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0956F72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Nenet 29-31, japin përcaktimet teknike sa i përket, “Funksionimi i integruar i sistemit të energjisë elektrike”; “Lidhjen me rrjetin”; si dhe Kostot për lidhjen me rrjetin”.</w:t>
            </w:r>
          </w:p>
          <w:p w14:paraId="6854A8A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32 parashikon ndër të tjera se, Operatori i Sistemit të Transmetimit dhe Operatori i Sistemit të Shpërndarjes dhe komunitetet qytetare të energjisë që menaxhojnë rrjete shpërndarjeje, garantojnë aksesin në rrjet për të gjithë klientët dhe përdoruesit e sistemit, mbi baza transparente, jodiskriminuese dhe bazuar në tarifat e miratuara dhe të publikuara nga ERE. Prodhuesit, që prodhojnë energji nga burime të rinovueshme, kanë përparësi në aksesin në rrjetet elektrike.</w:t>
            </w:r>
          </w:p>
          <w:p w14:paraId="12D6D07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33 parashikon, se Sistemi kombëtar i transmetimit lidhet me sistemet e transmetimit të vendeve të tjera nëpërmjet linjave ekzistuese të interkoneksionit, atyre që do të ndërtohen nga Operatori i Sistemit të Transmetimit, në përputhje me planin e investimit të rrjetit, të miratuar nga ERE, apo që do të ndërtohen prej palëve të treta, sipas parashikimeve të këtij ligji</w:t>
            </w:r>
          </w:p>
          <w:p w14:paraId="5607DE6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34, parashikon se Linjat e reja të interkoneksionit, që ndërtohen nga investitorët privatë, miratohen me Vendim të Këshillit të Ministrave, me propozimin e ministrit. Kushtet dhe procedurat për ndërtimin e interkonektorëve të rinj, sipas parashikimeve të këtij neni, miratohen me Vendim të Këshillit të Ministrave, me propozimin e ministrit.Neni 35- 39 japin parashikime teknike sa i përket cështjeve “Përjashtimi nga detyrimi për akses”; “Linjat direkte”; “Standardet teknike dhe të sigurisë në sektorin e energjisë elektrike”; “Ndarja e llogarive të shoqërive të sektorit të energjisë elektrike”;  si dhe “Zonat e sigurisë”.</w:t>
            </w:r>
          </w:p>
          <w:p w14:paraId="06EC4E0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327AC50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II, LICENCIMI</w:t>
            </w:r>
          </w:p>
          <w:p w14:paraId="2AE6616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6332C86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40, parashikon se  Çdo person juridik, i cili kryen një aktivitet në sektorin e energjisë elektrike, sipas pikës 2 të këtij neni duhet të jetë i pajisur me licencën përkatëse, të lëshuar nga ERE në përputhje me përkufizimet e këtij ligji. ERE lëshon licenca për veprimtaritë e mëposhtme:</w:t>
            </w:r>
          </w:p>
          <w:p w14:paraId="2E3E6B5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prodhimi i energjisë elektrike;</w:t>
            </w:r>
          </w:p>
          <w:p w14:paraId="2BA989C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lastRenderedPageBreak/>
              <w:t>b) operimi i sistemit të transmetimit të energjisë elektrike;</w:t>
            </w:r>
          </w:p>
          <w:p w14:paraId="2216891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operimi i sistemit të shpërndarjes së energjisë elektrike;</w:t>
            </w:r>
          </w:p>
          <w:p w14:paraId="5595A78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ç) furnizimi me energji elektrike;</w:t>
            </w:r>
          </w:p>
          <w:p w14:paraId="6949732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d) tregtimi i energjisë elektrike;</w:t>
            </w:r>
          </w:p>
          <w:p w14:paraId="41D4BD4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dh) operimi i tregut të energjisë elektrike; </w:t>
            </w:r>
          </w:p>
          <w:p w14:paraId="196EE3A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e) operimi i impiantit të depozitimit të energjisë;</w:t>
            </w:r>
          </w:p>
          <w:p w14:paraId="4E21403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f) agregimi.</w:t>
            </w:r>
          </w:p>
          <w:p w14:paraId="6CAA163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Nenet 41- 46  japin përcaktime të detajuara sa i pëtket “Kushteve të licencimit”; “Procedurave të licencimit”; “Publikimi për aplikimet për licencë”; “  Refuzimet e licencave”; “Heqja e një licence” ; “Transferimi i licencës ose aseteve”. Në këto nene jepen parashikime të qarta sa i përket rasteve dhe kriteve për secilën problematike.</w:t>
            </w:r>
          </w:p>
          <w:p w14:paraId="5422FC5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5D37970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47 parashikon se ERE, harton dhe miraton një sistem të njësuar dhe standard të llogarive për të gjithë të licencuarit që veprojnë në tregun të energjisë elektrike, mbështetur në legjislacionin në fuqi dhe standardet e pranuara ndërkombëtare mbi kontabilitetin. Raportimi vjetor financiar i të licencuarve tek ERE bëhet sipas këtij sistemi.</w:t>
            </w:r>
          </w:p>
          <w:p w14:paraId="38A8F5C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44EA9DA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48 parashikon se ERE ka të drejtë të hyjë në llogaritë e shoqërive të energjisë elektrike, për aq sa një akses  i tillë është i nevojshëm për kryerjen efektive të funksioneve të saj rregullatore dhe mbikëqyrëse. ERE është e detyruar të ruajë konfidencialitetin e të gjitha informacioneve të ndjeshme tregtare të marra gjatë ushtrimit të detyrave të saj.</w:t>
            </w:r>
          </w:p>
          <w:p w14:paraId="77AEE3E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0B695B9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49 parashikon se Këshilli i Ministrave, me propozim të ministrit, duke marrë në konsideratë interesin publik, përcakton kushtet për vendosjen e detyrimeve të shërbimit publik që do të zbatohen për të licencuarit në sektorin e energjisë elektrike që kryejnë aktivitetin e prodhimit, transmetimit, shpërndarjes, operimit të impianteve të depozitimit të energjisë dhe furnizimit me energji elektrike, të cilat lidhen me:</w:t>
            </w:r>
          </w:p>
          <w:p w14:paraId="63EBD83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sigurinë e furnizimit;</w:t>
            </w:r>
          </w:p>
          <w:p w14:paraId="69D2BBC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cilësinë e shërbimit;</w:t>
            </w:r>
          </w:p>
          <w:p w14:paraId="547B910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tarifat për kryerjen e detyrimit të shërbimit publik;</w:t>
            </w:r>
          </w:p>
          <w:p w14:paraId="2378509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ç) mbrojtjen e mjedisit;</w:t>
            </w:r>
          </w:p>
          <w:p w14:paraId="59B801B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d) mbrojtjen e konkurrencës;</w:t>
            </w:r>
          </w:p>
          <w:p w14:paraId="03270CB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dh) burimet e rinovueshme të energjisë;</w:t>
            </w:r>
          </w:p>
          <w:p w14:paraId="0C20BC8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e) eficencën e energjisë;</w:t>
            </w:r>
          </w:p>
          <w:p w14:paraId="5EEC4E6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ë) çdo rrethanë tjetër që ndikon në interesin publik;</w:t>
            </w:r>
          </w:p>
          <w:p w14:paraId="2A89607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f) ndryshimet klimaterike.</w:t>
            </w:r>
          </w:p>
          <w:p w14:paraId="73476F1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167E348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ERE vendos ndaj një të licencuari, që ushtron aktivitet në sektorin e energjisë elektrike, mbi detyrimin e shërbimit publik, sipas kushteve të përcaktuara në Vendimin e Këshillit të Ministrave, të parashikuara në pikën 1 të këtij neni. Çdo detyrim i shërbimit publik i vendosur nga ERE duhet të përfshihet në licencën e të licencuarit, duke ndjekur procedurën </w:t>
            </w:r>
            <w:r w:rsidRPr="005C63B4">
              <w:rPr>
                <w:rFonts w:ascii="Times New Roman" w:hAnsi="Times New Roman"/>
                <w:sz w:val="28"/>
                <w:szCs w:val="28"/>
                <w:lang w:val="sq-AL"/>
              </w:rPr>
              <w:lastRenderedPageBreak/>
              <w:t>për lëshimin e një licence të re ose një modifikim të licencës ekzistuese të të licencuarit.</w:t>
            </w:r>
          </w:p>
          <w:p w14:paraId="02B1F11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7F7AD53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III “PRODHIMI I ENERGJISË ELEKTRIKE DHE DEPOZITIMI I ENERGJISË”</w:t>
            </w:r>
          </w:p>
          <w:p w14:paraId="2652CBB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Nenet 50-56 japin parashikime të hollësishme sa i përket:</w:t>
            </w:r>
          </w:p>
          <w:p w14:paraId="515D29E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Të licencuarit në prodhimin e energjisë elektrike;</w:t>
            </w:r>
          </w:p>
          <w:p w14:paraId="7E1E672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Të licencuarit për depozitimin e energjisë elektrike;</w:t>
            </w:r>
          </w:p>
          <w:p w14:paraId="6F67246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Ndërtimi i kapaciteteve të reja prodhuese dhe depozituese të energjisë</w:t>
            </w:r>
          </w:p>
          <w:p w14:paraId="62EC149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Ndërtimi i kapaciteteve të reja prodhuese dhe depozituese për menaxhimin e kërkesës dhe efiçencës së energjisë;</w:t>
            </w:r>
          </w:p>
          <w:p w14:paraId="15DE3C2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Të drejtat dhe përgjegjësitë e prodhuesit;</w:t>
            </w:r>
          </w:p>
          <w:p w14:paraId="09B725A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Rezerva e lëndës djegëse ose e kapacitetit prodhues;</w:t>
            </w:r>
          </w:p>
          <w:p w14:paraId="522B231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Të drejtat dhe përgjegjësitë e operatorit të hapësirës të depozitimit të energjisë elektrike</w:t>
            </w:r>
          </w:p>
          <w:p w14:paraId="5BEE43D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5EAE173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IV, TRANSMETIMI I ENERGJISË ELEKTRIKE</w:t>
            </w:r>
          </w:p>
          <w:p w14:paraId="57BDF0C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2CCABA9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57 parashikon se Operatori i Sistemit të Transmetimit është personi juridik i licencuar për kryerjen e veprimtarisë së transmetimit të energjisë elektrike, i cili ka në pronësi sistemin e transmetimit dhe respekton parimin e pavarësisë, të përcaktuar në nenin 58 të këtij ligji.Këshilli i Ministrave përcakton autoritetin publik që përfaqëson shtetin si pronar të aksioneve të Operatorit të Sistemit të Transmetimit, i cili duhet të jetë i pavarur nga aktivitetet e prodhimit apo furnizimit, në kuptim të nenit 58 të ligjit.</w:t>
            </w:r>
          </w:p>
          <w:p w14:paraId="78640FF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31C52E8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58 jep parashikime të qarta lidhur me Ndarjen e pronësisë së Operatorit të Sistemit të Transmetimit.</w:t>
            </w:r>
          </w:p>
          <w:p w14:paraId="7497BD7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59 parashikon “Të drejtat e Operatorit të Sistemit të Transmetimit.”</w:t>
            </w:r>
          </w:p>
          <w:p w14:paraId="7C4DAF0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60 parashikon “Detyrat e Operatorit të Sistemit të Transmetimit”</w:t>
            </w:r>
          </w:p>
          <w:p w14:paraId="4B400C4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61 jep parashikime lidhur me Bashkëpunimin rajonal të Operatorit të Sistemit të Transmetimit.</w:t>
            </w:r>
          </w:p>
          <w:p w14:paraId="732432A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Nenet 62- 75 japin parashikime sa i përket cështjeve:</w:t>
            </w:r>
          </w:p>
          <w:p w14:paraId="4EB7D3E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Certifikimi i Operatorit të Sistemit të Transmetimit;</w:t>
            </w:r>
          </w:p>
          <w:p w14:paraId="7D486D5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Certifikimi në lidhje me shtetet e treta;</w:t>
            </w:r>
          </w:p>
          <w:p w14:paraId="5E96FC6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Zhvillimi i rrjetit të transmetimit;</w:t>
            </w:r>
          </w:p>
          <w:p w14:paraId="615D704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Dispeçerimi i energjisë elektrike’</w:t>
            </w:r>
          </w:p>
          <w:p w14:paraId="58A844F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Ridispeçerimi i energjisë elektrike;</w:t>
            </w:r>
          </w:p>
          <w:p w14:paraId="4A6B231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Prokurimi i humbjeve të energjisë në rrjetin e transmetimit, shërbimet e balancimit dhe</w:t>
            </w:r>
          </w:p>
          <w:p w14:paraId="0B2DA49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shërbimet ndihmëse;</w:t>
            </w:r>
          </w:p>
          <w:p w14:paraId="710EEA2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Kodi i Transmetimit;</w:t>
            </w:r>
          </w:p>
          <w:p w14:paraId="643A8D3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Konfidencialiteti i Operatorit të Sistemit të Transmetimi;</w:t>
            </w:r>
          </w:p>
          <w:p w14:paraId="3548ABA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Alokimi i kapaciteteve të interkoneksionit;</w:t>
            </w:r>
          </w:p>
          <w:p w14:paraId="3FED3D3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Identifikimi dhe adresimi i kongjestioneve strukturore në lidhje me kapacitetet e interkoneksionit;</w:t>
            </w:r>
          </w:p>
          <w:p w14:paraId="0B525F3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lastRenderedPageBreak/>
              <w:t>-</w:t>
            </w:r>
            <w:r w:rsidRPr="005C63B4">
              <w:rPr>
                <w:rFonts w:ascii="Times New Roman" w:hAnsi="Times New Roman"/>
                <w:sz w:val="28"/>
                <w:szCs w:val="28"/>
                <w:lang w:val="sq-AL"/>
              </w:rPr>
              <w:tab/>
              <w:t>Shfrytëzimi i të ardhurave nga alokimi i kapaciteteve të interkoneksionit;</w:t>
            </w:r>
          </w:p>
          <w:p w14:paraId="721C957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Menaxhimi i kapacitetit të kufizuar;</w:t>
            </w:r>
          </w:p>
          <w:p w14:paraId="4D9E6B5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Bashkëpunimi ndërmjet Operatorit të Sistemit të Transmetimit dhe Operatorit të Sistemit të Shpërndarjes;</w:t>
            </w:r>
          </w:p>
          <w:p w14:paraId="5189C21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Pronësia e Operatori i Sistemit të Transmetimit mbi hapësirat e impianteve të energjisë</w:t>
            </w:r>
          </w:p>
          <w:p w14:paraId="2CE827D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614CB55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këtë seksion ndër të tjera parashikohen rregulla në lidhje me funksionimin e objektit të depozitimit të energjisë si një kategori e re licencimi, si dhe për të përcaktuar të drejtat dhe detyrimet e mbajtësve të licencës së operimit të objektit të depozitimit të energjisë, si dhe rregullat e përgjithshme në lidhje me mekanizmat e kapacitetit. Komentet e subjekteve të interesuar janë reflektuar për të ruajtur kufijtë ekzistues të kapacitetit gjenerues të përcaktuar në LSE dhe për të zbatuar dispozitat e nenit 49 të LSE në hapësirat e depozitimit të energjisë. Akti nënligjor përkatës, veçanërisht Rregullorja mbi Miratimin e Ndryshimeve në Rregulloren për Procedurat dhe Afatet për Dhënien, Modifikimin, Transferimin, Rinovimin, Njohjen dhe Heqjen e Licencave në Sektorin e Energjisë Elektrike, miratuar me vendimin nr. 220, datë 01.9.2022, të ERE-s dhe Vendimi i Këshillit të Ministrave nr. 822, datë 7.10.2015 për Miratimin e Rregullave dhe Procedurave të Ndërtimit të Kapaciteteve të Reja Prodhuese të Energjisë Elektrike që nuk janë objekt koncesioni, do të rishikohen dhe përshtaten në përputhje me ndryshimet ligjore. Për më tepër, akti nënligjor përkatës do të parashikojë rregulla të hollësishme në lidhje me mekanizmat e kapacitetit (d.m.th. masat e përkohshme për të siguruar arritjen e nivelit të duhur të mjaftueshmërisë së burimit duke kompensuar burimet për disponueshmërinë e tyre, duke përjashtuar masat në lidhje me shërbimet ndihmëse ose menaxhimin e kongjestioneve) bazuar në nenet 11, 21-22, 25-26 të Rregullores së Energjisë Elektrike (BE) 2019/943, duke pasur parasysh edhe paragrafët 3-7 të nenit 4 të LSE.</w:t>
            </w:r>
          </w:p>
          <w:p w14:paraId="56D50BA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veçanti, rregullat e detajuara do të përfshijnë ose pasqyrojnë kërkesat që</w:t>
            </w:r>
          </w:p>
          <w:p w14:paraId="462D62C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nga 15 nëntori 2022, mekanizmat e kapacitetit do të përjashtojnë prodhimin me më shumë se 550 g CO2/kËh me origjinë karburanti fosil, dhe</w:t>
            </w:r>
          </w:p>
          <w:p w14:paraId="56336D5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nga 1 korriku 2025, mekanizmat e kapacitetit do të përjashtojnë prodhimin me më shumë se 550 g CO2/kËh me origjinë karburanti fosil dhe 350 kg CO2/vit/kËe (me origjinë karburanti fosil mesatarisht në vit për kËe të instaluar)</w:t>
            </w:r>
          </w:p>
          <w:p w14:paraId="0DF5B46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duke iu referuar paragrafit 4 të nenit 22 të Rregullores së Energjisë Elektrike (BE) 2019/943.</w:t>
            </w:r>
          </w:p>
          <w:p w14:paraId="26160C6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Më tej, rregullat e detajuara do të përfshijnë ose pasqyrojnë kërkesat që</w:t>
            </w:r>
          </w:p>
          <w:p w14:paraId="36E6045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   Deri më 31 dhjetor 2025 kur kërkohet për qëllimin e vendosjes së një standardi qendrueshmërie gjatë aplikimit të një mekanizmi kapaciteti, Ministria do të bëjë një vlerësim të vetëm të vlerës së ngarkesës së humbur (një vlerësim në euro/MËh, të çmimit maksimal të energjisë elektrike që klientët janë të gatshëm të paguajnë për të shmangur një ndërprerje). Ky </w:t>
            </w:r>
            <w:r w:rsidRPr="005C63B4">
              <w:rPr>
                <w:rFonts w:ascii="Times New Roman" w:hAnsi="Times New Roman"/>
                <w:sz w:val="28"/>
                <w:szCs w:val="28"/>
                <w:lang w:val="sq-AL"/>
              </w:rPr>
              <w:lastRenderedPageBreak/>
              <w:t>vlerësim do të vihet në dispozicion të publikut;</w:t>
            </w:r>
          </w:p>
          <w:p w14:paraId="31403C7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Ministria do të përditësojë vlerësimin e vlerës së humbur të ngarkesës të paktën çdo pesë vjet, ose më herët kur vëren një ndryshim të rëndësishëm</w:t>
            </w:r>
          </w:p>
          <w:p w14:paraId="085B8A8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Duke iu referuar nenit 11 të Rregullores së Energjisë Elektrike (BE) 2019/943. Kjo kërkon, ndër të tjera, që Ministria duhet të jetë përgjegjëse për të bërë një vlerësim të vetëm të vlerës së humbur të ngarkesës dhe të caktojë afatin përkatës për këtë.</w:t>
            </w:r>
          </w:p>
          <w:p w14:paraId="3ADF125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ka përcaktime sa i pëket rregullave të ndarjes me objektin e zgjeruar të LSE, dhe në veçanti me rregullat e detajuara të përfshira në projektligj në lidhje me funksionimet e hapësirave të depozitimit të energjisë nga OST. Janë shtuar paragrafë të rinj për të vendosur rregullat dhe parimet bazë që rregullojnë programin e pajtueshmërisë së OST-së dhe zyrtarin e pajtueshmërisë bazuar në sugjerimin e OST-së. Është krijuar një bazë e re ligjore për transferimin e pronësisë së tokës nën shtyllat e transmetimit të OST-së, duke përjashtuar ndërkohë transferimin e pronësisë për tokat që formojnë korridore nën linjat e transmetimit; por duke mos parashikuar dispozita të tilla të ngjashme për OSSH-në, në linjë kjo me sugjerimet e subjekteve të interesuara. Akti nënligjor përkatës, veçanërisht Rregullorja mbi Miratimin e Rregullave për Certifikimin e Operatorit të sistemit të Transmetimit të energjisë Elektrike, miratuar me vendimin nr. 154, datë 11.12.2015, të ERE-s ose një rregullore e veçantë e ERE-s, do të parashikojë rregulla të detajuara të parashikuara nga neni 50 i Direktivës së Energjisë Elektrike (BE) 2019/944 (riformuluar).</w:t>
            </w:r>
          </w:p>
          <w:p w14:paraId="1ACFB2F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Gjithashtu, përshihen përgjegjësitë shtesë që i caktohen OST-së. Më të rëndësishmet prej tyre përfshijnë: organizimin e menaxhimit të të dhënave; prokurimin e shërbimeve ndihmëse për të garantuar sigurinë operacionale; miratimin dhe zbatimin e kuadrit të bashkëpunimit dhe koordinimit ndërmjet qendrave rajonale të koordinimit; pjesëmarrjen në vlerësimet evropiane dhe kombëtare të mjaftueshmërisë së burimeve; vendosjen e mekanizmave të koordinimit dhe shkëmbimit të informacionit për të garantuar sigurinë e rrjeteve në kontekstin e menaxhimit të kongjestioneve; bashkëpunimin me Ministrinë si autoriteti kompetent i caktuar në lidhje me planifikimin e gatishmërisë ndaj riskut dhe menaxhimin e tij; bashkëpunimin me ACER; bashkëpunimin me OSSH-në dhe të licencuarit e tjerë. </w:t>
            </w:r>
          </w:p>
          <w:p w14:paraId="2D12081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Ndër të tjera ,janë  shtuar klauzola për të vendosur rregullat e përgjithshme në lidhje me bashkëpunimin rajonal të OST-së, dhe në veçanti në lidhje me bashkëpunimin e tij me qendrën përkatëse të koordinimit rajonal (aktualisht: Shadoë SEE RCC). Duke iu referuar konsultimeve me subjektet e interesuara, formulimi i shtesës merr në konsideratë rikonfigurimin e mundshëm të ardhshëm të SOR-it dhe RCC-së në lidhje me Shqipërinë. Legjislacioni nënligjor përkatës, në formën e një Rregulloreje të ERE-s, do të parashikojë rregulla të detajuara që rregullojnë marrëdhëniet ndërmjet OST-së dhe RCC-së, duke përfshirë të drejtat dhe detyrimet e tyre përkatëse.</w:t>
            </w:r>
          </w:p>
          <w:p w14:paraId="27CC7FE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Jnaë shtuar parashikime për të harmonizuar rregullat për zhvillimin e </w:t>
            </w:r>
            <w:r w:rsidRPr="005C63B4">
              <w:rPr>
                <w:rFonts w:ascii="Times New Roman" w:hAnsi="Times New Roman"/>
                <w:sz w:val="28"/>
                <w:szCs w:val="28"/>
                <w:lang w:val="sq-AL"/>
              </w:rPr>
              <w:lastRenderedPageBreak/>
              <w:t>rrjetit të transmetimit me acquis-n e BE-së. Akti përkatës nënligjor, veçanërisht Rregullorja mbi Miratimin e Rregullores së Procedurave Paraqitjes dhe Miratimit të Planit të Investimeve nga Operatorët e Transmetimit dhe Shpërndarjes së Energjisë Elektrike,miratuar me vendimin nr.135, datë 6.9.2017, të ERE-s do të rishikohet dhe përshtatet në përputhje me ndryshimet ligjore.</w:t>
            </w:r>
          </w:p>
          <w:p w14:paraId="6B542AF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Janë dhënë përcaktime të reja për të harmonizuar rregullat për dipeçimin e energjisë elektrike me objektin e zgjeruar të LSE-së dhe acquis të BE-së. Ndryshimi përfshin opsionin e përjashtimit për të mos dhënë dispeçim me përparësi për gjeneratorët e përcaktuar në paragrafin 3. Si rregull i përgjithshëm, dispeçemi me përparësi do t’u jepet a) gjeneratorëve të rinovueshëm me fuqi më të vogël se 400 kË, b) projekteve demonstruese, c) njësive gjeneruese me fuqi më të vogël se 400 kË. Megjithatë, Shqipëria mund të vendosë të mos aplikojë dispeçeri me përparësi (ose të aplikojë dispeçeri të tilla me kapacitet minimal më të ulët se sa është përcaktuar më sipër), me kusht që:</w:t>
            </w:r>
          </w:p>
          <w:p w14:paraId="17023D3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të ketë mirëfunksionim të shkëmbimeve të energjisë që tregtohet brenda të njëjtës ditës dhe tregjeve të tjera me shumicë dhe atyre balancuese dhe që këto tregje të jenë plotësisht të aksesueshme nga të gjithë pjesëmarrësit e tregut;</w:t>
            </w:r>
          </w:p>
          <w:p w14:paraId="4BF288C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rregullat e ridispeçeremit dhe menaxhimit të kongjestioneve të jenë transparente për të gjithë pjesëmarrësit e tregut;</w:t>
            </w:r>
          </w:p>
          <w:p w14:paraId="3276C79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Shqipërisë e energjisë nga burimet e rinovueshme në konsumin final bruto të energjisë elektrike të jetë të paktën 50 %.</w:t>
            </w:r>
          </w:p>
          <w:p w14:paraId="11D3984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Ndryshimi ligjor ofron fleksibilitet me qëllim që OST, bazuar në analizën përkatëse të ERE-s, të vendosë në të ardhmen të mos aplikojë dispeçim me përparësi. Akti përkatës nënligjor, veçanërisht Kodet e Rrjetit, do të reflektojnë dhe parashikojnë ndryshimet dhe rregullat e detajuara në lidhje me dispeçimet e energjisë elektrike.</w:t>
            </w:r>
          </w:p>
          <w:p w14:paraId="7D861DB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Rregullat dhe parimet e përgjithshme për ridispeçmet e energjisë elektrike në projektligjin e energjisë elektrike ndërkohë që dispozita të detajuara do të parashikohen në aktet nënligjore përkatëse, veçanërisht në Kodet e Rrjetit. Sipas rregullave të ndryshuara, ridispeçimi i prodhimit të energjisë elektrike dhe përgjigja ndaj kërkesës së tregut do të bazohet në kritere objektive, transparente dhe jodiskriminuese dhe do të jetë e hapur për të gjitha teknologjitë prodhuese të energjisë elektrike, depozitimin e energjisë dhe përgjigjen ndaj kërkesës së tregut, duke përfshirë ato të vendosura tek Palët e tjera të Komunitetit të Energjisë. Përveç kur nuk është e mundur teknikisht.</w:t>
            </w:r>
          </w:p>
          <w:p w14:paraId="1D2E85E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Aktet nënligjore do të përfshijnë – të paktën – dispozitat e mëposhtme:</w:t>
            </w:r>
          </w:p>
          <w:p w14:paraId="1CD34D4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1.   OST dhe OSSH do të raportojnë të paktën çdo vit në ERE për:</w:t>
            </w:r>
          </w:p>
          <w:p w14:paraId="7148614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nivelin e zhvillimit dhe efektivitetit të mekanizmave të ridispeçimeve me bazë tregu për objektet e prodhimit të energjisë, depozitimin e energjisë dhe përgjigjen ndaj kërkesës së tregut;</w:t>
            </w:r>
          </w:p>
          <w:p w14:paraId="00C8BB6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arsyet, vëllimet në MËh dhe llojin e burimit të gjenerimit që i nënshtrohet ridispeçimit;</w:t>
            </w:r>
          </w:p>
          <w:p w14:paraId="2FC9694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c) masat e marra për të reduktuar nevojën për ulje të ridispeçimit në </w:t>
            </w:r>
            <w:r w:rsidRPr="005C63B4">
              <w:rPr>
                <w:rFonts w:ascii="Times New Roman" w:hAnsi="Times New Roman"/>
                <w:sz w:val="28"/>
                <w:szCs w:val="28"/>
                <w:lang w:val="sq-AL"/>
              </w:rPr>
              <w:lastRenderedPageBreak/>
              <w:t>instalimet gjeneruese që përdorin burime të rinovueshme energjie ose prodhues me efikasitet të lartë në të ardhmen, duke përfshirë investimet në dixhitalizimin e infrastrukturës së rrjetit dhe në shërbimet që rrisin fleksibilitetin.</w:t>
            </w:r>
          </w:p>
          <w:p w14:paraId="5CD9B2D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ERE i paraqet raportin Bordit Rregullator të Komunitetit të Energjisë dhe publikon një përmbledhje të të dhënave të përmendura në pikat “a”, “b” dhe “c” të nënparagrafit të parë, të këtij neni, së bashku me rekomandimet për përmirësim, kur është e nevojshme.</w:t>
            </w:r>
          </w:p>
          <w:p w14:paraId="26AF083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2. Në varësi të kërkesave në lidhje me ruajtjen e qëndrueshmërisë dhe sigurisë së rrjetit, bazuar në kriteret transparente dhe jodiskriminuese të vendosura nga ERE, OST dhe OSSH do të:</w:t>
            </w:r>
          </w:p>
          <w:p w14:paraId="23D9D10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garantojnë aftësinë e rrjeteve të transmetimit dhe rrjeteve të shpërndarjes për të transmetuar energjinë elektrike të prodhuar nga burime të rinovueshme të energjisë ose nga prodhues me efikasitet të lartë me ridispeçim sa më minimal të mundshme;</w:t>
            </w:r>
          </w:p>
          <w:p w14:paraId="7635179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marrin masat e duhura operacionale në lidhje me rrjetin dhe tregun për të minimizuar ridispeçimet e ulura të energjisë elektrike të prodhuar nga burimet e rinovueshme të energjisë ose nga prodhuesi me efikasitet të lartë;</w:t>
            </w:r>
          </w:p>
          <w:p w14:paraId="6DD5F29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të sigurojnë që rrjetet e tyre të jenë mjaftueshëm fleksibël në mënyrë që të jenë në gjendje t’i menaxhojnë ato.</w:t>
            </w:r>
          </w:p>
          <w:p w14:paraId="43C8475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3. Kur përdoret ridispeçime të ulura të pabazuara në treg, do të zbatohen parimet e mëposhtme:</w:t>
            </w:r>
          </w:p>
          <w:p w14:paraId="7565051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impiantet e prodhimit që përdorin burime të rinovueshme të energjisë do t’i nënshtrohen ridispeçimit me ulje vetëm nëse nuk ekziston alternativë tjetër ose nëse zgjidhje të tjera do të rezultonin me kosto mjaft disproporcionale ose me risqe të rënda për sigurinë e rrjetit;</w:t>
            </w:r>
          </w:p>
          <w:p w14:paraId="3F81C15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energjia elektrike e prodhuar në një proces gjenerimi me efikasitet të lartë do t’i nënshtrohet ridispeçimit me ulje vetëm nëse, përveç ridispeçimit me ulje të impianteve të prodhimit që përdorin burime të rinovueshme të energjisë, nuk ekziston asnjë alternativë tjetër ose nëse zgjidhjet e tjera do të rezultonin me kosto disproporcionale ose me risqe të rënda për sigurinë e rrjetit;</w:t>
            </w:r>
          </w:p>
          <w:p w14:paraId="6FE3DDA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energjia elektrike e vetë-prodhuar nga instalimet prodhuese që përdorin burime të rinovueshme të energjisë ose prodhim me efikasitet të lartë, i cili nuk futet në rrjetin e transmetimit ose të shpërndarjes, nuk do t’i nënshtrohet ridispeçimit me ulje, përveç rasteve kur asnjë zgjidhje tjetër nuk do të zgjidhte çështjet e sigurisë së rrjetit;</w:t>
            </w:r>
          </w:p>
          <w:p w14:paraId="13BA695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ç) ridispeçimet me ulje sipas pikave “a”, “b” dhe “c” duhet të justifikohet në mënyrën e duhur dhe me transparencë. Arsyetimi duhet të përfshihet në raport sipas paragrafit </w:t>
            </w:r>
          </w:p>
          <w:p w14:paraId="71671DC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4. Kur përdoret ridispeçimi i pabazuar në treg, ai do t’i nënshtrohet kompensimit financiar nga operatori i sistemit që kërkon ridispeçimin tek operatori i objektit të gjenerimit, të depozitimit të energjisë ose të përgjigjes ndaj kërkesës së tregut që mori ridispeçimin, përveç rastit të prodhuesve që kanë pranuar të lidhin marrëveshje sipas së cilës nuk ka garanci për dispeçim në një masë të caktuar energjie. Një kompensim i </w:t>
            </w:r>
            <w:r w:rsidRPr="005C63B4">
              <w:rPr>
                <w:rFonts w:ascii="Times New Roman" w:hAnsi="Times New Roman"/>
                <w:sz w:val="28"/>
                <w:szCs w:val="28"/>
                <w:lang w:val="sq-AL"/>
              </w:rPr>
              <w:lastRenderedPageBreak/>
              <w:t>tillë financiar do të jetë të paktën i barabartë me vlerën më të lartë të elementëve të mëposhtëm ose një kombinim i të dyjave nëse aplikimi vetëm i atij më të lartë do të çonte në mënyrë të pajustifikueshme në një kompensim të ulët ose në mënyrë të pajustifikueshme në një kompensim të lartë:</w:t>
            </w:r>
          </w:p>
          <w:p w14:paraId="1BEDE42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kosto shtesë operative e shkaktuar nga ridispeçimi, të tilla si kostot shtesë të karburantit në rastin e ridispeçimeve me rritje, ose sigurimi i ngrohjes mbështetëse në rastin e ridispeçimeve me ulje të impianteve të prodhimit duke përdorur prodhim me efikasitet të lartë;</w:t>
            </w:r>
          </w:p>
          <w:p w14:paraId="1055D6F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të ardhurat neto nga shitja e energjisë elektrike sipas tregut të ditës në avancë, të cilat do t’i kishte gjeneruar objekti i gjenerimit të energjisë, të depozitimit të energjisë ose objekti i përgjigjes ndaj kërkesës së tregut, pa kërkesën e ridispaçimit; kur mbështetja financiare u jepet objekteve të prodhimit, depozitimit të energjisë ose të përgjigjes ndaj kërkesës së tregut bazuar në vëllimin e energjisë elektrike të prodhuar ose të konsumuar, mbështetja financiare që do të ishte marrë pa kërkesën e ridispaçmit do të konsiderohet të jetë pjesë e të ardhurave neto.</w:t>
            </w:r>
          </w:p>
          <w:p w14:paraId="4824FA8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Sugjerimet e subjekteve të interesuara janë marrë parasysh duke përcaktuar se pika “a” e paragrafit 1, që do të përfshihet në aktin nënligjor, nuk do të parashikojë kapacitetin minimal të garantuar të blerjes ose marrjes së energjisë elektrike, pasi energjia e prodhuar nga impiantet e prodhimit që përdorin burime të energjisë së rinovueshme ose prodhim me efikasitet të lartë përfaqëson më shumë se 50% të konsumit vjetor total bruto të energjisë elektrike në rastin e Shqipërisë.</w:t>
            </w:r>
          </w:p>
          <w:p w14:paraId="4DAAFDD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këtë seksion ka gjithashtu, rregullat në lidhje me prokurimin e shërbimeve të balancimit nga OST. Sipas ndryshimit ligjor, shërbimet ndihmëse jo të shpeshta dhe specifikimet për shërbimet ndihmëse të prokuruara nga OST do të adresohen vetëm me akt nënligjor. Akti nënligjor përkatës, veçanërisht Rregullorja mbi Miratimin e Rregullores për Procedurat e Blerjes së Energjisë Elektrike për Mbulimin e Humbjeve në Rrjetet e Shpërndarjes dhe Transmetimit dhe për Blerjen dhe Shitjen e Energjisë Elektrike për Siguruar e Përmbushjes e Detyrimeve të Shërbimit Publik, miratuar me vendimin Nr. 103, datë 23.6.2016, të ERE-s dhe Rregullorja për Rregullat e Tregut Shqiptar të Balancimit të Energjisë Elektrike, miratuar me vendimin nr. 106, datë 2.7.2020, të ERE-s, do të parashikojnë rregulla të diferencuara në lidhje me dispozitat e shërbimeve ndihmëse jo të shpeshta, dhe me përcaktimin e specifikimeve për shërbimet ndihmëse të prokuruara.</w:t>
            </w:r>
          </w:p>
          <w:p w14:paraId="33D98FF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 Ky zgjerim përfshin rillogaritjen e kapacitetit të disponueshëm të interkoneksionit të paktën pas orarit të mbylljes së portës së interkonjeksionit sipas tregut të ditës në avancë dhe pas mbylljes së portës së interkoneksionit sipas tregut brenda të njëjtës ditë, dhe shpërndarjen e kapacitetit të disponueshëm të interkonjeksionit plus çdo kapacitet të mbetur interkonjeksioni që nuk është shpërndarë më parë dhe çdo kapacitet interkonjeksioni të nxjerrë nga mbajtësi i të drejtave të transmetimit fizik nga shpërndarja e mëparshme në procesin vijues të shpërndarjes së kapacitetit të interkonjeksionit. Rregullat të detajuara në </w:t>
            </w:r>
            <w:r w:rsidRPr="005C63B4">
              <w:rPr>
                <w:rFonts w:ascii="Times New Roman" w:hAnsi="Times New Roman"/>
                <w:sz w:val="28"/>
                <w:szCs w:val="28"/>
                <w:lang w:val="sq-AL"/>
              </w:rPr>
              <w:lastRenderedPageBreak/>
              <w:t xml:space="preserve">lidhje me shpërndarjen e kapaciteteve të interkonjeksionit do të parashikohen dhe rregullohen përmes reflektimit të vazhdueshëm të kodeve përkatëse të rrjetit në nivel BE. Prandaj, parashikimet e nenit 17 të Rregullores së Energjisë Elektrike (BE) 2019/943 do të reflektohen nëpërmjet ndryshimit të Kodit të Transmetimit, Rregullores mbi Miratimin e Rregullave të Menaxhimit të Kapacitetetit  të Kufizuar, miratuar me vendimin Nr. 124, datë 21.07.2016, të ERE-s dhe Rregullores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për krijimin e një udhëzuesi mbi alokimin e kapaciteteve në avancë. </w:t>
            </w:r>
          </w:p>
          <w:p w14:paraId="3C75465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Aktet nënligjore përkatëse do të parashikojnë rregulla të detajuara, duke përfshirë zbatimin e përjashtimeve të mundshme (p.sh. pjesëmarrjen në rishikimin e zonës së ofertave; zgjatjen e afatit kohor në lidhje me 70% të disponueshmërisë ndërzonale), dhe do të reflektojnë kërkesën për të marrë pjesë në rishikimin e zonës së ofertave që duhet të bëhet jo më vonë se 31 Dhjetor 2025.</w:t>
            </w:r>
          </w:p>
          <w:p w14:paraId="7A18F76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Ka parashikime të reja për të shprehur se procedurat e menaxhimit të kongjestioneve të shoqëruara me një afat kohor të paracaktuar mund të gjenerojnë të ardhura vetëm në rast të kongjestionit që lind për atë periudhë kohore, me përjashtim të rastit të interkonektorëve të rinj që përfitojnë nga një përjashtim i dhënë nga Këshilli i Ministrave. OST do të përcaktojë qartë, paraprakisht, se si do të përdoret çdo e ardhur nga kongjestionet dhe do të raportojë në ERE për përdorimin faktik të këtyre të ardhurave. Akti përkatës nënligjor, veçanërisht Rregullorja mbi Miratimin e Rregullave të Menaxhimit të Kapacitetit  të Kufizuar, miratuar me vendimin Nr. 124, datë 21.07.2016, të ERE-s dhe Rregullorja mbi Miratimin e Metodologjisë së Llogaritjes së Tarifave të Transmetimit të Energjisë Elektrike, miratuar me vendimin nr. 180, datë 08.11.2017, të ERE-s do të përafrohen sipas ndryshimeve ligjore.</w:t>
            </w:r>
          </w:p>
          <w:p w14:paraId="2AD855A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Rregullat dhe parimet e përgjithshme në lidhje me shpërndarjen e kapaciteteve dhe menaxhimin e kongjestioneve. Rastet me kapacitet të kufizuar të rrjetit do të trajtohen me zgjidhje jodiskriminuese të bazuara në treg, të cilat u japin sinjale ekonomike efikase pjesëmarrësve të tregut të energjisë elektrike dhe operatorëve të sistemit të transmetimit që përfshihen. Problemet e kongjestionit së rrjetit do të zgjidhen me mënyra që bazohen në metoda jo në bazë transaksioni, që do të thotë metoda që nuk angazhojnë një përzgjedhje ndërmjet kontratave të pjesëmarrësve individualë të tregut të energjisë elektrike. Legjislacioni përkatës nënligjor, veçanërisht Rregullorja mbi Miratimin e Rregullave të Menaxhimit të Kapacitetit  të Kufizuar, miratuar me vendimin Nr. 124, datë 21.07.2016, të ERE-s, do të parashikojë rregulla dhe parime të detajuara.</w:t>
            </w:r>
          </w:p>
          <w:p w14:paraId="4859DD4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Në projektligj është shtuar një nen, për të vendosur një detyrim të qartë </w:t>
            </w:r>
            <w:r w:rsidRPr="005C63B4">
              <w:rPr>
                <w:rFonts w:ascii="Times New Roman" w:hAnsi="Times New Roman"/>
                <w:sz w:val="28"/>
                <w:szCs w:val="28"/>
                <w:lang w:val="sq-AL"/>
              </w:rPr>
              <w:lastRenderedPageBreak/>
              <w:t>bashkëpunimi dhe shkëmbimi informacioni ndërmjet OST dhe OSSH-së për të koordinuar dhe zgjeruar zhvillimin e rrjetit.</w:t>
            </w:r>
          </w:p>
          <w:p w14:paraId="3A8AB3D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këtë pjesë ka parashikime për rregulluar pronësinë e hapësirave të depozitimit të energjisë nga OST. Si rregull i përgjithshëm, OST mund të mos zotërojë dhe operojë hapësiravt të depozitimit të energjisë. Megjithatë, acquis përkatëse e BE-së parashikon dy opsione përjashtimi (d.m.th. rastet kur OST-ja të lejohet të zotërojë dhe operojë hapësirave të depozitimit të energjisë): (i) hapësirat e depozitimit të energjisë si komponentë të rrjeteve plotësisht të integruara (që miratohen nga ERE); dhe (ii) palë të tjera, që në vijim të procedurave të tenderimit, nuk u është dhënë e drejta për të zotëruar dhe operuar objekte të tilla. Neni i ri zbaton të dyja përjashtimet. Legjislacioni përkatës nënligjor do të prashikojë rregulla të detajuara të paragrafëve 2-5 të nenit 54 të Direktivës për Energjinë Elektrike (BE) 2019/944 (riformuluar).</w:t>
            </w:r>
          </w:p>
          <w:p w14:paraId="762186F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shtohet një paragraf të ri në bazë të të cilit OSSH-ja mund të kryejë veprimtari të tjera nga ato të përcaktuara në LSE, në varësi të miratimit specifik të ERE-s, siç u sugjerua nga vetë subjektet e interesuara.</w:t>
            </w:r>
          </w:p>
          <w:p w14:paraId="7F44498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Janë të përfshira detyrat e reja që i janë caktuar OSSH-së nga acquis e BE-së, nën dritën e ndryshimeve të tjera të bëra. Më të rëndësishmet prej tyre përfshijnë: sigurimin që të gjitha palët e lejuara të kenë akses jodiskriminues tek të dhënat  bazuar në kushte të qarta dhe të barabarta; sigurimin që anëtarët e së njëjtës ndërmarrje të integruar vertikalisht të mos kenë akses të privilegjuar në të dhënat për kryerjen e aktiviteteve të tyre të furnizimit; bashkëpunimin me Ministrinë si autoriteti kompetent i caktuar në lidhje me planifikimin e gatishmërisë ndaj riskut dhe menaxhimit të tij; dhe pjesëmarrjen në krijimin dhe funksionimin e Grupit Koordinues të Operatorëve të Sistemit të Shpërndarjes së Komunitetit të Energjisë. Rregullorja mbi Miratimin e Rregullave për Përcaktimin e Formularit të të Dhënave dhe Procedurën e Aksesit të Furnizuesve ndaj të Dhënave të Operatorit të Shpërndarjes së Energjisë Elektrike, miratar me vendimin nr. 16, datë 10.01.2018  (miratuar në bazë të pikës “gj” të nenit 69 të LSE- së) do të zëvendësohet me akt nënligjor që do të miratojë Ministria në bazë të paragrafit 1 të nenit 25/1 të LSE.</w:t>
            </w:r>
          </w:p>
          <w:p w14:paraId="79C50A0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Në këtë seksion janë të reflektuar rregullat dhe parimet e përgjithshme në lidhje me prokurimin e produkteve dhe shërbimeve nga OSSH-ja. Kur OSSH-ja është përgjegjëse për prokurimin e produkteve dhe shërbimeve të nevojshme për funksionimin efikas, të qendrueshëm dhe të sigurt të sistemit të shpërndarjes, rregullat e miratuara nga OSSH-ja për këtë qëllim do të jenë objektive, transparente dhe jodiskriminuese dhe do të zhvillohen në koordinim me OST dhe pjesëmarrës të tjerë përkatës në tregun e energjisë elektrike. Legjislacioni përkatës nënligjor, veçanërisht Rregullroja mbi Miratimin e Rregullores për Procedurat e Blerjes së Energjisë Elektrike për Mbulimin e Humbjeve në Rrjetet e Shpërndarjes dhe Transmetimit dhe për Blerjen dhe Shitjen e Energjisë Elektrike për Siguruar e Përmbushjes e Detyrimeve të Shërbimit Publik, miratuar me vendimin nr. 103, datë 23.6.2016, të ERE-sdo të rishikohet dhe rregullohet </w:t>
            </w:r>
            <w:r w:rsidRPr="005C63B4">
              <w:rPr>
                <w:rFonts w:ascii="Times New Roman" w:hAnsi="Times New Roman"/>
                <w:sz w:val="28"/>
                <w:szCs w:val="28"/>
                <w:lang w:val="sq-AL"/>
              </w:rPr>
              <w:lastRenderedPageBreak/>
              <w:t>në përputhje me ndryshimet ligjore.</w:t>
            </w:r>
          </w:p>
          <w:p w14:paraId="171E3D2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ka nene për të vendosur rregulla të përgjithshme në lidhje me prokurimin e shërbimeve të fleksibilitetit nga OSSH-ja. OSSH-ja do të prokurojë shërbime fleksibiliteti, duke përfshirë menaxhimin e kongjestionit në zonën e tij në përputhje me procedura transparente, jodiskriminuese dhe të bazuara në treg, përveç rasteve kur ERE ka vërtetuar se prokurimi i këtyre shërbimeve nuk është ekonomikisht efikas ose se një prokurim i tillë do të çonte në shtrembërime të rënda të tregut, ose në kongjestione më të larta. Specifikimet dhe produktet e standardizuara të tregut (në lidhje me shërbimet e fleksibilitetit të prokuruara) do të përcaktohen në legjislacionin përkatës nënligjor.</w:t>
            </w:r>
          </w:p>
          <w:p w14:paraId="7E1CEB3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Rregullimet e reja ligjore përfshin rregullimin e shërbimeve të lidhura me lëvizshmërinë e qendrave elektrike të parashikuara në ligjin actual vetëm përsa i përket rregullave të përgjithshme në lidhje me operatorët që operojnë pikat publike të rikarikimit, funksionimin e pikave publike të rikarikimit (si përdorimi specifik i sistemit / kategoria e përdoruesve të sistemit); dhe funksionimin e pikave të rikarkimit si përjashtim nga rregullat ndarjes së OSSH-së. Një fushë më e gjerë e rregulloreve të lidhura me lëvizshmërinë e qëndrave elektrike (p.sh. kufizimet në llogaritjen e tarifave, kërkesat e faturimit) mund të zbatohet në legjislacionin që lidhet me transportin. Shtesa ligjore reflekton opsionin e devijimit për pronësinë e OSSH-së të pikave të rikarikimit për të ruajtur fleksibilitetin. Legjislacioni përkatës nënligjor që do të miratohet nga Ministria do të parashikojë rregullat e detajuara që rrjedhin nga paragrafët 3-4 të nenit 33 të Direktivës për Energjinë Elektrike (BE) 2019/944 (riformuar).</w:t>
            </w:r>
          </w:p>
          <w:p w14:paraId="3677917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janë ndryshuar për të reflektuar detyrimin e OSSH-së për t’i pajisur të gjithë klientët fundorë të përdorimit me matësin e duhur konvencional. Për më tepër, përkufizimi dhe referencat për “Kodin e Matjes” janë hequr për shkak të integrimit të tij në kodet e tjera të rrjetit, siç u sugjeruar gjatë konsultimeve me subjektet e interesuara.</w:t>
            </w:r>
          </w:p>
          <w:p w14:paraId="241453F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ka përcaktime për të reflektuar rregullat dhe parimet e përgjithshme në lidhje me vendosjen e matësve inteligjentë. Ndryshimet ligjore reflektojnë të dy opsionet e parashikuara nga acquis e BE-së: (i) vendosjen e organizuar të sistemeve inteligjente të matjes dhe (ii) futjen në faza të sistemeve inteligjente të matjes mbi baza vullnetare. Zbatimi i dy opsioneve do t’i nënshtrohet një vlerësimi të përsëritur kosto-përfitim. Reagimet e subjekteve të interesuara janë mbajtur parasysh për të caktuar datën 5 korrik 2031 si afatin brenda të cilit sistemet inteligjente të matjes që nuk plotësojnë kërkesat e LSE do të hiqen nga funksionimi. Legjislacioni përkatës nënligjor, veçanërisht Kodet e Rrjetit ose një rregullore e veçantë e ERE-s, do të parashikojë rregullat e detajuara të parashikuara në nenet 20-21 dhe aneksin II të Direktivës së Energjisë Elektrike (BE) 2019/944 (riformuar).</w:t>
            </w:r>
          </w:p>
          <w:p w14:paraId="3AE67E2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378374D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V, ‘SHPËRNDARJA E ENERGJISË ELEKTRIKE”</w:t>
            </w:r>
          </w:p>
          <w:p w14:paraId="4925420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3563DB8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lastRenderedPageBreak/>
              <w:t>Neni 76 parashikon ndër të tjera Shpërndarja e energjisë elektrike kryhet nga operatorë të sistemit të shpërndarjes, të cilët janë persona juridikë, të licencuar nga ERE sipas dispozitave të këtij ligji. Operatori i Sistemit të Shpërndarjes ka në pronësi sistemin e shpërndarjes së energjisë elektrike në tension të lartë, të mesëm dhe të ulët, me qëllim lëvrimin e saj te klientët, ku kufiri i tij me sistemin e transmetimit është ai i përcaktuar në pikën 2, të nenit 54, të këtij ligji. Operatori i Sistemit të Shpërndarjes është përgjegjës për:</w:t>
            </w:r>
          </w:p>
          <w:p w14:paraId="52EA2FC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 sigurimin e zhvillimit të sigurt dhe të qëndrueshëm të sistemit të shpërndarjes;</w:t>
            </w:r>
          </w:p>
          <w:p w14:paraId="7D37955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 përmbushjen e kërkesave për shpërndarjen e energjisë elektrike;</w:t>
            </w:r>
          </w:p>
          <w:p w14:paraId="5868553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 mirëmbajtjen dhe operimin e sigurt të sistemit të shpërndarjes së energjisë elektrike   në gjithë territorin për të cilin është licencuar.</w:t>
            </w:r>
          </w:p>
          <w:p w14:paraId="3598E99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4645B61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77 parashikon Detyrat e Operatorit të Sistemit të Shpërndarjes</w:t>
            </w:r>
          </w:p>
          <w:p w14:paraId="7B68978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768B09A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GJASHTË, “FURNIZIMI ME ENERGJI ELEKTRIKE”</w:t>
            </w:r>
          </w:p>
          <w:p w14:paraId="4EFF7C6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SEKSIONI I</w:t>
            </w:r>
          </w:p>
          <w:p w14:paraId="3A536E2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2DB6A57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Nenet 79-90, janë përcaktime sa i përket cështjeve të përmbledhura si vijon:</w:t>
            </w:r>
          </w:p>
          <w:p w14:paraId="52F790E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seksionin I, të pjesës VI, janë shtuar parashikime te tjera shtesë ndryshe nga ligji në fuqi, për të reflektuar konceptin dhe rregullat e përgjithshme për klientët aktivë. Klienti aktiv është një klient fundor, ose një grup klientësh fundorë që veprojnë së bashku, i cili konsumon ose ruan energjinë elektrike të prodhuar brenda ambienteve të tij të vendosura brenda kufijve të kufizuar, ose që shet energji elektrike të prodhuar vetë ose merr pjesë në skemat e fleksibilitetit ose të efiçencës së energjisë, me kusht që këto veprimtari të mos përbëjnë veprimtarinë e tij kryesore tregtare ose profesionale. Klientët fundorë të përdorimit që kualifikohen si klientë aktivë do të kenë një kapacitet maksimal gjenerues prej 500 kË dhe do të kenë të drejtë të veprojnë kështu pa iu nënshtruar kërkesave teknike disproporcionale ose diskriminuese, kërkesave administrative, procedurave dhe tarifave, si dhe tarifave të rrjetit që nuk janë kosto-reflektuese. Legjislacioni përkatës nënligjor, në formën e vendimit të Këshillit të Ministrave, do të zëvendësojë Udhëzimin e MIE Nr.3, datë 20.6.2019 për miratimin e procedurës së lehtësuar të autorizimit për lidhjen në sistemin e shpërndarjes të projekteve të vogla të rinovueshme për vetëprodhuesit e e energjisë elektrike nga dielli, si dhe do të parashikojë rregulla të detajuara për klientët aktivë.</w:t>
            </w:r>
          </w:p>
          <w:p w14:paraId="7E7E448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Gjithashtu, është shtuar për të reflektuar rregullat e përgjithshme për kontratat dinamike të çmimeve të energjisë elektrike. Kontrata dinamike e çmimit të energjisë elektrike nënkupton një kontratë furnizimi midis një furnizuesi dhe një klienti fundor përdorimi që pasqyron variacionin e çmimit në tregjet korrente, duke përfshirë tregjet e ditës në avancë dhe brenda të njëjtës ditë, në intervale të paktën të barabarta me frekuencën e caktuar të tregut. Furnizuesi i ngarkuar me detyrimin e shërbimit të </w:t>
            </w:r>
            <w:r w:rsidRPr="005C63B4">
              <w:rPr>
                <w:rFonts w:ascii="Times New Roman" w:hAnsi="Times New Roman"/>
                <w:sz w:val="28"/>
                <w:szCs w:val="28"/>
                <w:lang w:val="sq-AL"/>
              </w:rPr>
              <w:lastRenderedPageBreak/>
              <w:t>furnizimit universal dhe çdo furnizues që ka më shumë se 200,000 klientë fundorë do t’i ofrojë çdo klienti fundor të pajisur me matës inteligjent mundësinë për të lidhur një kontratë dinamike të çmimit të energjisë elektrike. Legjislacioni përkatës nënligjor do të përshtatet për të reflektuar detyrimin e furnizuesit për të ofruar kontrata dinamike të çmimeve të energjisë elektrike.</w:t>
            </w:r>
          </w:p>
          <w:p w14:paraId="4D18F19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Janë shtuar rregullat dhe parimet e përgjithshme në lidhje me agregimin. Agregim nënkupton një funksion të kryer nga një person fizik ose juridik i cili kombinon disa ngarkesa të klientëve ose energji elektrike të prodhuar për shitje, blerje ose ankand në çdo treg të energjisë elektrike. Në përputhje me reagimet e subjekteve të interesuara, shtesa ligjore prezanton opsionin për të lëshuar licenca agregimi ose detyrimin për t’u regjistruar dhe për të kërkuar që të gjithë personat juridikë që kryejnë agregim të zbatojnë detyrimisht rregulloret e detajuara të publikuara nga ERE. Legjislacioni përkatës nënligjor do të parashikojë rregulla të detajuara, duke përfshirë kushtet dhe procedurat opcionale të licencimit ose regjistrimit.</w:t>
            </w:r>
          </w:p>
          <w:p w14:paraId="50F957B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Shtohen rregullat e përgjithshme në lidhje me mjetet e krahasimit të çmimeve. Duke qenë se ERE operon tashmë një mjet krahasimi, aktualisht është i zbatueshëm opsioni i përjashtimit i parashikuar në pikën “b” të paragrafit 6 të nenit 14 të Direktivës së Energjisë Elektrike (BE) 2019/944 (riformuluar). Ky opsion mund të vazhdojë nëse ERE cakton një autoritet ose organ tjetër publik për të operuar mjetin. Kjo shtesë ligjore i lejon ERE-s të delegojë funksionimin e mjetit të krahasimit tek një organ tjetër. Mjeti i krahasimit i operuar nga ERE duhet të jetë në përputhje me kërkesat e përcaktuara në paragrafin 1 të nenit 14 të Direktivës së Energjisë Elektrike (BE) 2019/944 (riformuluar). </w:t>
            </w:r>
          </w:p>
          <w:p w14:paraId="08A6FF3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Gjithashtu, është shtuar për të reflektuar rregullat dhe parimet e përgjithshme në lidhje me informacionin minimal që duhet të përfshihet në faturat dhe në informacionin e faturimit. Legjislacioni përkatës nënligjor, veçanërisht Rregullorja mbi Miratimin e Kushteve të Përgjithshme të Shërbimit të Furnizimit me Energji Elektrike për Klientët Fundorë,miratuar me vendimin Nr.203, datë 18.12.2017, të ERE-s, ose një rregullore e veçantë e ERE-s, do të parashikojë rregulla të detajuara që rrjedhin nga neni 18 dhe aneksi I i Direktivës së Energjisë Elektrike (BE) 2019/944 (riformuluar).</w:t>
            </w:r>
          </w:p>
          <w:p w14:paraId="0999C4D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Në këtë seksion, është shtuar koncepti dhe rregullat e përgjithshme në lidhje me komunitetet e qytetarëve të energjisë. Komuniteti i qytetarëve të energjisë nënkupton një person juridik që bazohet në pjesëmarrjen vullnetare dhe të hapur dhe që kontrollohet efektivisht nga anëtarët ose aksionarët që janë persona fizikë, autoritetet lokale, duke përfshirë bashkitë, ose ndërmarrjet e vogla; që ka për qëllim parësor t’i sigurojë përfitime komunitetit mjedisore, ekonomik ose social për anëtarët ose aksionarët e tij ose për zonat lokale ku operon, se sa të gjenerojë fitime financiare; dhe që mund të angazhohet në prodhimin, duke përfshirë nga burimet e rinovueshme, shpërndarjen, furnizimin, konsumin, agregimin, depozitimin e energjisë, shërbimet e efikasitetit të energjisë ose </w:t>
            </w:r>
            <w:r w:rsidRPr="005C63B4">
              <w:rPr>
                <w:rFonts w:ascii="Times New Roman" w:hAnsi="Times New Roman"/>
                <w:sz w:val="28"/>
                <w:szCs w:val="28"/>
                <w:lang w:val="sq-AL"/>
              </w:rPr>
              <w:lastRenderedPageBreak/>
              <w:t>funksionimin e pikës së rikarikimit ose të ofrojë shërbime të tjera energjetike për anëtarët ose aksionarët e tij. Legjislacioni përkatës nënligjor, në formën e një udhëzimi të Ministrisë, do të parashikojë rregulla të detajuara në lidhje me komunitetet e qytetarëve të energjisë.</w:t>
            </w:r>
          </w:p>
          <w:p w14:paraId="6B220AA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këtë pjesë gjithashtu, janë shtuar klausola të përafruar me acquis e BE-së të drejtat bazë kontraktuale të klientëve përkundrejt furnitorëve. Rrjedhimisht, furnitorët do t’u ofrojnë klientëve fundorë një zgjedhje të gjerë mënyrash pagese, duke siguruar që metoda të tilla të mos bëjnë dallime të padrejta midis klientëve. Çdo ndryshim në tarifat në lidhje me mënyrat e pagesës ose sistemet e parapagimit duhet të jetë objektiv, jodiskriminues dhe proporcional dhe nuk duhet të kalojë kostot direkte të përballuara nga klientët fundorë të përdorimit për përdorimin e një mënyre specifike pagese ose një sistemi parapagese. Për më tepër, klientët familjarë me akses në sistemet e parapagimit nuk do të vihen në disavantazh nga këto sisteme. Ndryshimi ligjor lejon tarifat për daljen nga një sistem, siç parashikohet në nenin 88 të LSE-së, duke mbajtur parasysh këtu reagimet e subjekteve të interesuara. Legjislacioni përkatës nënligjor do të rishikohet dhe përshtatet për të pasqyruar rregullat e detajuara në lidhje me të drejtat bazë kontraktuale.</w:t>
            </w:r>
          </w:p>
          <w:p w14:paraId="13FEB31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Ka parashikime te tjera, përvec ligjit aktual në fuqi, për të rishikuar objektin e përfituesve që kanë të drejtë të furnizohen sipas shërbimit universal të furnizimit. Acquis e BE-së lejon parashikimin dhe zbatimin e masave të përcaktimit të çmimeve, si një përjashtim i lejuar, në lidhje me furnizimin e klientëve familjarë në nevojë, në varësi të kushteve të përshkruara në paragrafin 4 të nenit 85 të LSE-së. Baza e të dhënave për identifikimin e klientëve familjarë në nevojë duhet të jetë i disponueshëm sipas nenit 95 të LSE-së. Për më tepër, acquis e BE-së lejon aplikimin e përcaktimit të çmimeve për një gamë më të gjerë klientësh fundorë, duke përfshirë klientët familjarë dhe mikrondërmarrjet, në varësi të kushteve të specifikuara në paragrafin 5 të nenit 85 të LSE-së. Megjithatë, bazuar në sugjerimet e subjekteve të interesuara, aplikimi i kategorive të klientëve (si përfitues të masave të përcaktimit të çmimeve) sipas acquis të BE-së mund të paraqesë sfida në kontekstin e Shqipërisë. Meqenëse masat aktuale të përcaktimit të çmimeve janë të diferencuara në bazë të tensionit (voltazhit) të lidhur, bazat përkatëse të të dhënave të nevojshme për të identifikuar klientët familjarë dhe mikrondërmarrjet mund të jenë aktualisht jo të plota. Për të adresuar këtë çështje, ndryshimi ligjor parashikon një detyrim vetëdeklarimi për klientët në lidhje me të dhënat përkatëse që nuk disponohen nga ofruesi i shërbimit universal.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rregullohen në përputhje me ndryshimet ligjore.</w:t>
            </w:r>
          </w:p>
          <w:p w14:paraId="2D29ECF3"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Përfshihen dispozitat e detajuara në lidhje me furnizuesin e mundësisë së fundit në legjislacionin përkatës nënligjor, veçanërisht tek Rregullorja </w:t>
            </w:r>
            <w:r w:rsidRPr="005C63B4">
              <w:rPr>
                <w:rFonts w:ascii="Times New Roman" w:hAnsi="Times New Roman"/>
                <w:sz w:val="28"/>
                <w:szCs w:val="28"/>
                <w:lang w:val="sq-AL"/>
              </w:rPr>
              <w:lastRenderedPageBreak/>
              <w:t xml:space="preserve">mbi Miratimin e Rregullave për Kushtet e Shërbimit të Furnizimit nga Furnizuesi I Mundësisë së Fundit dhe Kushtet Kontraktore të Furnizimit me Energji Elektrike, miratuar me vendimin nr. 247, datë 11.12.2018, të ERE-s. gjithashtu, ndryshohet për të transferuar dispozitat e detajuara në lidhje me furnizuesin e mundësisë së fundit në aktet nënligjore përkatëse, veçanërisht në Vendimin e Këshillit të Ministrave nr. 449, datë 15.06.2016 për Miratimin e Kushteve dhe të  Procedurave për Përcaktimin e Furnizuesit të Mundësisë së Fundit të Energjisë Elektrike dhe Rregulloren mbi Miratimin e Rregullave për Kushtet e Shërbimit të Furnizimit nga Furnizuesi I Mundësisë së Fundit dhe Kushtet Kontraktore të Furnizimit me Energji Elektrike, miratuar me vendimin nr. 247, datë 11.12.2018, të ERE-s. </w:t>
            </w:r>
          </w:p>
          <w:p w14:paraId="3C73ED7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Rregullat për ndërrimin e furnizuesit të energjisë elektrike duhet të sigurojnë që e drejta për të ndërruar furnizues t’u jepet të gjithë klientëve në mënyrë jodiskriminuese për sa i përket kostos, përpjekjes dhe kohës. Klientët familjarë kanë të drejtë të marrin pjesë në skemat e ndërrimit kolektiv. Rregullat për ndërrimin e furnizuesve të energjisë elektrike duhet të sigurojnë në lidhje me skemat e ndërrimit kolektiv mbrojtjen maksimale të klientëve për të shmangur çdo praktikë abuzive dhe barrierë të pajustifikuar administrative. Ndërrimi i furnitorëve do të kryhet brenda një kohe sa më të shkurtër. Çdo klient që dëshiron të ndërrojë furnizues, duke respektuar kushtet kontraktuale, ka të drejtë për një ndërrimi të tillë brenda një kohe maksimale prej tre javësh nga data e kërkesës. Procesi teknik i ndërrimit të furnizuesit do të zgjasë jo më shumë se 24 orë dhe do të jetë i mundur në çdo ditë pune jo më vonë se: 1 janar 2026 për klientët që u shërbehet një nivel tensioni ndërmjet 6 kV dhe 35 kV; dhe 5 korrik 2031 për klientët që u shërbehet një nivel tensioni nën 1 kV. Afati i veçantë për ndërrimin 24-orësh të furnizuesit për klientët e tensionit të mesëm dhe të tensionit të ulët është futur në përgjigje të reagimeve të subjekteve të interesuara. Legjislacioni përkatës nënligjor, veçanërisht Rregullorja mbi miratimin e Rregullores për Ndryshimin e Furnizuesit të Energjisë Elektrike,miratuar me vendimin  nr. 113, datë 08.07.2016, të ERE-s, do të rishikohet dhe përshtatet për të pasqyruar këto ndryshime ligjore dhe për të parashikuar rregulla të detajuara.</w:t>
            </w:r>
          </w:p>
          <w:p w14:paraId="466990C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w:t>
            </w:r>
            <w:r w:rsidRPr="005C63B4">
              <w:rPr>
                <w:rFonts w:ascii="Times New Roman" w:hAnsi="Times New Roman"/>
                <w:sz w:val="28"/>
                <w:szCs w:val="28"/>
                <w:lang w:val="sq-AL"/>
              </w:rPr>
              <w:tab/>
              <w:t>SEKSIONI II “PAGIMI I DETYRIMEVE TË ENERGJISË ELEKTRIKE NDAJ FURNIZUESIT TË NGARKUAR ME SHËRBIMIN UNIVERSAL TË FURNIZIMIT SI DETYRIM I SHËRBIMIT PUBLIK”</w:t>
            </w:r>
          </w:p>
          <w:p w14:paraId="5AE3CBA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7008A9B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91, parashikon ndër të tjera se Klienti fundor i energjisë elektrike është i detyruar të paguajë detyrimet e energjisë, sipas përcaktimeve të kontratës së furnizimit. Nëse klienti nuk paguan detyrimin e energjisë elektrike, furnizuesi i energjisë elektrike, i ngarkuar me shërbimin universal të furnizimit si detyrim i shërbimit publik, njofton me shkrim klientin për masat që do të marrë për arkëtimin e detyrimit, sipas përcaktimeve të kontratës dhe/ose të këtij ligj.</w:t>
            </w:r>
          </w:p>
          <w:p w14:paraId="1762FE5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92, parashikon se për të siguruar ekzekutimin e detyrimit të </w:t>
            </w:r>
            <w:r w:rsidRPr="005C63B4">
              <w:rPr>
                <w:rFonts w:ascii="Times New Roman" w:hAnsi="Times New Roman"/>
                <w:sz w:val="28"/>
                <w:szCs w:val="28"/>
                <w:lang w:val="sq-AL"/>
              </w:rPr>
              <w:lastRenderedPageBreak/>
              <w:t>papaguar furnizuesi, në përputhje me parashikimet e kontratës, merr masat e mëposhtme:</w:t>
            </w:r>
          </w:p>
          <w:p w14:paraId="4BC3053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w:t>
            </w:r>
            <w:r w:rsidRPr="005C63B4">
              <w:rPr>
                <w:rFonts w:ascii="Times New Roman" w:hAnsi="Times New Roman"/>
                <w:sz w:val="28"/>
                <w:szCs w:val="28"/>
                <w:lang w:val="sq-AL"/>
              </w:rPr>
              <w:tab/>
              <w:t>fillon procedurën e ndërprerjes së energjisë elektrike;</w:t>
            </w:r>
          </w:p>
          <w:p w14:paraId="13AC447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w:t>
            </w:r>
            <w:r w:rsidRPr="005C63B4">
              <w:rPr>
                <w:rFonts w:ascii="Times New Roman" w:hAnsi="Times New Roman"/>
                <w:sz w:val="28"/>
                <w:szCs w:val="28"/>
                <w:lang w:val="sq-AL"/>
              </w:rPr>
              <w:tab/>
              <w:t>fillon procedurat e ekzekutimit të detyrueshëm, duke kërkuar lëshimin e urdhrit të ekzekutimit, sipas përcaktimeve të Kodit të Procedurës Civile dhe ligjit nr. 8662, datë 18.9.2000, “Për trajtimin si titull ekzekutiv të faturës së konsumit të energjisë elektrike”, të ndryshuar;</w:t>
            </w:r>
          </w:p>
          <w:p w14:paraId="52CB13C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c)</w:t>
            </w:r>
            <w:r w:rsidRPr="005C63B4">
              <w:rPr>
                <w:rFonts w:ascii="Times New Roman" w:hAnsi="Times New Roman"/>
                <w:sz w:val="28"/>
                <w:szCs w:val="28"/>
                <w:lang w:val="sq-AL"/>
              </w:rPr>
              <w:tab/>
              <w:t>vendos barrën hipotekore mbi pasurinë e paluajtshme që furnizohet me energji elektrike, në rast se detyrimi i papaguar, që rrjedh nga një kontratë furnizimi energjie elektrike, është mbi 1 500 000 (një milion e pesëqind mijë) lekë për klientin jofamiljar.</w:t>
            </w:r>
          </w:p>
          <w:p w14:paraId="53C3440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93, parashikon rastet dhe mënyrat kur mund të vendoset barra hipotekore.</w:t>
            </w:r>
          </w:p>
          <w:p w14:paraId="0515FFB0"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37FEC46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SHTATË “KLIENTËT DHE MBROJTJA E TYRE”</w:t>
            </w:r>
          </w:p>
          <w:p w14:paraId="43C259F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94, u jep të gjithë klientëve të drejtën për të pasur më shumë se një kontratë furnizimi me energji elektrike njëkohësisht. Legjislacioni përkatës nënligjor, veçanërisht Rregullorja mbi Miratimin e Kushteve të Përgjithshme të Shërbimit të Furnizimit me Energji Elektrike për Klientët Fundorë,miratuar me vendimin Nr.203, datë 18.12.2017, të ERE-s,, do të rishikohet dhe përshtatet në përputhje me ndryshimet ligjore.</w:t>
            </w:r>
          </w:p>
          <w:p w14:paraId="120361A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95,  ka përcaktime për të përafruar kuadrin rregullator në lidhje me klientët në nevojë me acquis të BE-së. Kriteret për të përfituar nga statusi i klientit në nevojë janë zgjeruar për të përfshirë tre elementë të rinj: numrin e familjeve në varfëri energjetike; moshën e klientit; dhe çdo kriter tjetër të miratuar nga Këshilli i Ministrave.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përshtaten për të pasqyruar këto ndryshime ligjore dhe për të parashikuar rregulla të detajuara. [Edir 2019 Artet 28-29]</w:t>
            </w:r>
          </w:p>
          <w:p w14:paraId="26C6319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96, parashikon ndër të tjera, se Klientët familjarë, të cilët kanë përfituar statusin e klientëve në nevojë, në përputhje me kushtet e përcaktuara në nenin 95, të këtij ligji, kanë të drejtën e përfitimit të shërbimit të furnizimit universal, sipas parashikimeve të këtij ligji.</w:t>
            </w:r>
          </w:p>
          <w:p w14:paraId="1C69333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0ADF8CA5"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TETË “TREGU I ENERGJISË ELEKTRIKE”</w:t>
            </w:r>
          </w:p>
          <w:p w14:paraId="3D23557B"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97 jep parashikim të ri lidhur me konceptin dhe përkufizimin e tregjeve të energjisë elektrike, duke përfshirë propozimet e OST dhe ALPEX si dhe të acquis të BE-së. Tregjet e energjisë elektrike nënkuptojnë tregjet për energjinë elektrike, duke përfshirë tregun e blerjes së lirë, tregun e organizuar të energjisë elektrike dhe tregun e derivativëve të energjisë elektrike, tregjet për tregtimin e energjisë, kapaciteteve, balancimit dhe shërbimeve ndihmëse në të gjitha afatet kohore, duke përfshirë tregjet për transaksione të ardhshme, tregjet e ditës në avancë </w:t>
            </w:r>
            <w:r w:rsidRPr="005C63B4">
              <w:rPr>
                <w:rFonts w:ascii="Times New Roman" w:hAnsi="Times New Roman"/>
                <w:sz w:val="28"/>
                <w:szCs w:val="28"/>
                <w:lang w:val="sq-AL"/>
              </w:rPr>
              <w:lastRenderedPageBreak/>
              <w:t>dhe brenda të njëjtës ditë. Legjislacioni nënligjor përkatës, veçanërisht Vendimi i Këshillit të Ministrave nr. 519, datë 13.07.2016 për Miratimin e Modelit të Tregut të Energjisë Elektrike, i ndryshuar me Vendimin e Këshillit të Ministrave nr. 872, datë 27.12.2022, për disa Ndryshime dhe Shtesa në vendimin  nr. 519, datë 13.7.2016, të Këshillit të Ministrave, për Miratimin e Modelit të Tregut të Energjisë Elektrike do të rishikohet dhe përshtatet në përputhje me ndryshimet ligjore.</w:t>
            </w:r>
          </w:p>
          <w:p w14:paraId="0F932ABA"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97/1 rishikon konceptin e Operatorit të Tregut për të pasqyruar zhvillimet në tregun e energjisë elektrike në Shqipëri, duke marrë parasysh konsultimet me subjektet e interesuara. Ai përafron dispozitat në lidhje me tregjet e energjisë elektrike dhe Operatorin e Tregut brenda LSE-së. Komentet e subjekteve të interesuara janë zbatuar për të mos deleguar te licenca NEMO, pasi Operatori i Tregut dhe NEMO janë koncepte të veçanta. Për më tepër, shtesa lejon që Operatori i Tregut të jetë një palë tjetër përveç ALPEX, siç rekomandohet nga subjektet e interesuara. Në përputhje me reagimet e subjekteve të interesuara, neni ruan gjithashtu nivelin aktual të detajeve për delegimin tek LSE-ja, ndërsa heq detajet për aksionarët e Operatorit të Tregut.</w:t>
            </w:r>
          </w:p>
          <w:p w14:paraId="1BDAC949"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98 reflekton parimet e lidhura me rregullat e tregut të parashikuara nga acquis e BE-së. Legjislacioni nënligjor përkatës, veçanërisht Vendimi i Këshillit të Ministrave nr. 519, datë 13.07.2016 për Miratimin e Modelit të Tregut të Energjisë Elektrike, i ndryshuar me Vendimin e Këshillit të Ministrave nr.872, datë 27.12.2022, për disa Ndryshime dhe Shtesa në vendimin  nr. 519, datë 13.7.2016, të Këshillit të Ministrave, për Miratimin e Modelit të Tregut të Energjisë Elektrike ,Rregullorja për miratimin e Rregullave të Tregut të Energjisë Elektrike(Rregullat e Alpex Përkufizimet, Procedura e Tregtimit si dhe Procedura e Kierimit dhe Shlyerjes), miratuar me vendim nr. 347, datë 27.12.2024, të ERE-s   dhe Rregullorja mbi miratimin e Rregullave të Tregut  Shqiptar të Balancimit të Energjisë Elektrike, miratuar me vendimin nr. 106, datë 02.07.2020, të ERE-s, do të rishikohen për të reflektuar e parashikuar rregulla të detajuara.</w:t>
            </w:r>
          </w:p>
          <w:p w14:paraId="3368B35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98/1 është shtuar për të reflektuar rregullat dhe parimet e përgjithshme në lidhje me tregjet e ditës në avancë dhe brenda të njëjtës ditë. Legjislacioni përkatës nënligjor, veçanërisht Rregullorja për miratimin e Rregullave të Tregut të Energjisë Elektrike(Rregullat e Alpex Përkufizimet, Procedura e Tregtimit si dhe Procedura e Kierimit dhe Shlyerjes), miratuar me vendim nr. 347, datë 27.12.2024, të ERE-s do të rishikohet për të parashikuar rregulla të detajuara.</w:t>
            </w:r>
          </w:p>
          <w:p w14:paraId="52B4BE7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98/2 reflekton kërkesat e përgjithshme në lidhje me tregjet për transaksionet e ardhshme. Legjislacioni përkatës nënligjor, veçanërisht Rregullorja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që përcakton një </w:t>
            </w:r>
            <w:r w:rsidRPr="005C63B4">
              <w:rPr>
                <w:rFonts w:ascii="Times New Roman" w:hAnsi="Times New Roman"/>
                <w:sz w:val="28"/>
                <w:szCs w:val="28"/>
                <w:lang w:val="sq-AL"/>
              </w:rPr>
              <w:lastRenderedPageBreak/>
              <w:t>udhëzues për shpërndarjen e kapaciteteve, do të rishikohet për të parashikuar rregulla të detajuara.</w:t>
            </w:r>
          </w:p>
          <w:p w14:paraId="7AFB94FF"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99 reflekton acquis e BE-së për përgjegjësinë e balancimit. Si rregull i përgjithshëm, të gjithë pjesëmarrësit e tregut janë përgjegjës për mosbalancimet që shkaktojnë në sistem. Megjithatë, mund të parashikohen përjashtime nga përgjegjësia për rruajtjen e balancimit tek projektet demonstruese, gjeneratorët e rinovueshëm më të vegjël se sa 400 kË (më të vegjël se 200 kË nga viti 2026) dhe gjeneratorët e subvencionuar. Ndryshimi e reflekton këtë opsion përjashtimi në LSE për të ofruar fleksibilitet, pra ofron mundësinë për të përjashtuar prodhuesit e përzgjedhur nga përgjegjësia e balancimit në të ardhmen nëpërmjet një vendimi të Këshillit të Ministrave. Legjislacioni përkatës nënligjor, veçanërisht Vendimi i Këshillit të Ministrave nr. 398, datë 09.06.2022 për trajtimin e disbalancave të shkaktuar nga prodhuesit me përparësi  të energjisë elektrike dhe Rregullorja mbi miratimin e Rregullave të Tregut  Shqiptar të Balancimit të Energjisë Elektrike, miratuar me vendimin nr. 106, datë 02.07.2020, të ERE-s, do të rishikohen për të parashikuar rregulla të hollësishme.</w:t>
            </w:r>
          </w:p>
          <w:p w14:paraId="208FFC91"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100 reflekton rregullat dhe parimet e përgjithshme në lidhje me tregjet balancuese. Legjislacioni nënligjor përkatës, veçanërisht Rregullorja mbi miratimin e Rregullave të Tregut  Shqiptar të Balancimit të Energjisë Elektrike, miratuar me vendimin nr. 106, datë 02.07.2020, të ERE-s do të rishikohet për të reflektuar dhe parashikuar rregullat e detajuara.</w:t>
            </w:r>
          </w:p>
          <w:p w14:paraId="4ED8F8F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NËNTË “TË DREJTAT PRONËSORE”</w:t>
            </w:r>
          </w:p>
          <w:p w14:paraId="74D37DE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101 parashikon se për sigurinë e shërbimit të energjisë elektrike, i licencuari mund të kërkojë përdorimin e një ose të disa prej të drejtave të mëposhtme mbi pronën:</w:t>
            </w:r>
          </w:p>
          <w:p w14:paraId="7092223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a)të drejtën për linjat;</w:t>
            </w:r>
          </w:p>
          <w:p w14:paraId="31389332"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b)të drejtën e përdorimit;</w:t>
            </w:r>
          </w:p>
          <w:p w14:paraId="6273A394"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c) ë drejtën e servitutit; </w:t>
            </w:r>
          </w:p>
          <w:p w14:paraId="09574A5F" w14:textId="77777777" w:rsidR="008B26AE"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ç)shpronësim</w:t>
            </w:r>
          </w:p>
          <w:p w14:paraId="0FAB1199" w14:textId="77777777" w:rsidR="00D54A64" w:rsidRPr="00D54A64" w:rsidRDefault="00D54A64" w:rsidP="00D54A64">
            <w:pPr>
              <w:widowControl w:val="0"/>
              <w:autoSpaceDE w:val="0"/>
              <w:autoSpaceDN w:val="0"/>
              <w:ind w:right="72"/>
              <w:jc w:val="both"/>
              <w:rPr>
                <w:rFonts w:ascii="Times New Roman" w:hAnsi="Times New Roman"/>
                <w:sz w:val="28"/>
                <w:szCs w:val="28"/>
                <w:lang w:val="sq-AL"/>
              </w:rPr>
            </w:pPr>
          </w:p>
          <w:p w14:paraId="74CCDDAC"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Në zonat natyrore të mbrojtura, të drejtat jepen me miratimin paraprak të autoritetit përgjegjës për mbrojtjen e mjedisit, në përputhje me legjislacionin në fuqi për zonat e mbrojtura. Në zonat që janë në administrim të njësive të qeverisjes vendore nevojitet miratimi paraprak i njësisë përkatëse vendore.Kur klienti fundor ndodhet në një ndërtesë me shumë apartamente banimi ose strukturë me disa biznese, i licencuari ka të drejtë të ushtrojë të gjitha të drejtat e parashikuara në pikën 1, të këtij neni, të cilat janë të nevojshme për sigurinë e furnizimit të këtij klienti.</w:t>
            </w:r>
          </w:p>
          <w:p w14:paraId="7261146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102, jep përcakti me lidhur me rastet e servitut ligjor.</w:t>
            </w:r>
          </w:p>
          <w:p w14:paraId="1158BC9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103, parashikon Detyrimet e operatorëve ndaj rrjeteve të tyre</w:t>
            </w:r>
          </w:p>
          <w:p w14:paraId="14489CFE"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xml:space="preserve">Neni 104 parashikon se Pjesë të centraleve prodhuese, pajisje të sistemeve të transmetimit, shpërndarjes dhe ato ndihmëse mund të vendosen, të funksionojnë dhe të mirëmbahen në pronën e të tretëve, në bazë të së drejtës së përdorimit të përkohshëm.E drejta e përdorimit të përkohshëm </w:t>
            </w:r>
            <w:r w:rsidRPr="005C63B4">
              <w:rPr>
                <w:rFonts w:ascii="Times New Roman" w:hAnsi="Times New Roman"/>
                <w:sz w:val="28"/>
                <w:szCs w:val="28"/>
                <w:lang w:val="sq-AL"/>
              </w:rPr>
              <w:lastRenderedPageBreak/>
              <w:t>rregullohet sipas legjislacionit për shpronësimet dhe marrjen në përdorim të përkohshëm të pasurisë, pronë private, për interes publik.</w:t>
            </w:r>
          </w:p>
          <w:p w14:paraId="40BB7A7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p>
          <w:p w14:paraId="7355F7E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105, jep parashikimet sa i pëket rasteve kur për vendosjen e centraleve, të nënstacioneve, të kabinave elektrike ose të linjave të transmetimit të energjisë elektrike, i licencuari mund të kërkojë nisjen e procedurës së shpronësimit të pronës së një personi të tretë. Në këtë nen jepen rregullimet e posacme.</w:t>
            </w:r>
          </w:p>
          <w:p w14:paraId="441530FD"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 Pjesa e dhjetë “Dispozita të tjera”</w:t>
            </w:r>
          </w:p>
          <w:p w14:paraId="7C053758"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106, parashikon rastet sa i përket hetimeve administrative që mund të iniciohen nga ERE.</w:t>
            </w:r>
          </w:p>
          <w:p w14:paraId="6F291836"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107 rregullon nivelin e gjobave administrative duke iu referuar Raportit të EnC-së për Vendin, konsultimeve me ERE-n dhe pikës “d” të paragrafit 3 të nenit 59 të Direktivës së Energjisë Elektrike (BE) 2019/944 (riformuluar). Bazuar në konsultimet me ERE-n, niveli i vendosur i gjobave administrative përafrohet me ato të parashikuara në kuadrin e zbatuar të REMIT sipas Rregullores mbi miratimin e rregullores për integrimin dhe Transparencën e tregut me shumicë  të energjisë, miratuar me vendimin nr. 126, datë 17.05.2021,të ERE-s. Legjislacioni nënligjor përkatës, veçanërisht, do të rishikohet dhe përshtatet në përputhje me ndryshimet ligjore.</w:t>
            </w:r>
          </w:p>
          <w:p w14:paraId="1692C98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108  përcakton listën e akteve nënligjore konkrete që do të miratohenpas hyrjes në fuqi të ligjit të ri për sëktorinë e energjisë elektrike.</w:t>
            </w:r>
          </w:p>
          <w:p w14:paraId="184A07E7" w14:textId="77777777" w:rsidR="008B26AE" w:rsidRPr="005C63B4" w:rsidRDefault="008B26AE" w:rsidP="00D54A64">
            <w:pPr>
              <w:pStyle w:val="ListParagraph"/>
              <w:widowControl w:val="0"/>
              <w:tabs>
                <w:tab w:val="clear" w:pos="567"/>
              </w:tabs>
              <w:autoSpaceDE w:val="0"/>
              <w:autoSpaceDN w:val="0"/>
              <w:spacing w:after="0"/>
              <w:ind w:right="72" w:firstLine="33"/>
              <w:jc w:val="both"/>
              <w:rPr>
                <w:rFonts w:ascii="Times New Roman" w:hAnsi="Times New Roman"/>
                <w:sz w:val="28"/>
                <w:szCs w:val="28"/>
                <w:lang w:val="sq-AL"/>
              </w:rPr>
            </w:pPr>
            <w:r w:rsidRPr="005C63B4">
              <w:rPr>
                <w:rFonts w:ascii="Times New Roman" w:hAnsi="Times New Roman"/>
                <w:sz w:val="28"/>
                <w:szCs w:val="28"/>
                <w:lang w:val="sq-AL"/>
              </w:rPr>
              <w:t>Neni 109 përcakton të gjitha dispozitat kalimtare të nevojshme pas miratimit të projektligjit të ri për energjinë elektrike, i cili do të sjellë shfuqizimin e ligjit në fuqi nr. 43/2015.</w:t>
            </w:r>
          </w:p>
          <w:p w14:paraId="5B09120B" w14:textId="77777777" w:rsidR="00A6137F" w:rsidRDefault="008B26AE" w:rsidP="00D54A64">
            <w:pPr>
              <w:tabs>
                <w:tab w:val="left" w:pos="60"/>
                <w:tab w:val="left" w:pos="540"/>
              </w:tabs>
              <w:ind w:left="567" w:firstLine="33"/>
              <w:jc w:val="both"/>
              <w:rPr>
                <w:rFonts w:ascii="Times New Roman" w:hAnsi="Times New Roman"/>
                <w:sz w:val="28"/>
                <w:szCs w:val="28"/>
                <w:lang w:val="sq-AL"/>
              </w:rPr>
            </w:pPr>
            <w:r w:rsidRPr="005C63B4">
              <w:rPr>
                <w:rFonts w:ascii="Times New Roman" w:hAnsi="Times New Roman"/>
                <w:sz w:val="28"/>
                <w:szCs w:val="28"/>
                <w:lang w:val="sq-AL"/>
              </w:rPr>
              <w:t>Neni 10, parashikon në mënyrë shteruese aktet nënligjore të nevojshme që do të shfuqizohen pas hyrjes në fuqi të projektigjit të ri për sektorinë e energjisë elektrike.</w:t>
            </w:r>
          </w:p>
          <w:p w14:paraId="7A7AF454" w14:textId="6B1DE3CF" w:rsidR="003454C0" w:rsidRPr="005C63B4" w:rsidRDefault="003454C0" w:rsidP="00D54A64">
            <w:pPr>
              <w:tabs>
                <w:tab w:val="left" w:pos="60"/>
                <w:tab w:val="left" w:pos="540"/>
              </w:tabs>
              <w:ind w:left="567" w:firstLine="33"/>
              <w:jc w:val="both"/>
              <w:rPr>
                <w:rFonts w:ascii="Times New Roman" w:hAnsi="Times New Roman"/>
                <w:sz w:val="28"/>
                <w:szCs w:val="28"/>
                <w:lang w:val="sq-AL"/>
              </w:rPr>
            </w:pPr>
          </w:p>
        </w:tc>
      </w:tr>
    </w:tbl>
    <w:p w14:paraId="3A320FF0" w14:textId="77777777" w:rsidR="008675CA" w:rsidRDefault="008675CA" w:rsidP="00D54A64">
      <w:pPr>
        <w:pStyle w:val="BodyText"/>
        <w:spacing w:after="0"/>
        <w:jc w:val="both"/>
        <w:rPr>
          <w:rFonts w:ascii="Times New Roman" w:hAnsi="Times New Roman"/>
          <w:i/>
          <w:sz w:val="28"/>
          <w:szCs w:val="28"/>
          <w:lang w:val="sq-AL"/>
        </w:rPr>
      </w:pPr>
    </w:p>
    <w:p w14:paraId="2E284244" w14:textId="77777777" w:rsidR="00572F93" w:rsidRPr="005C63B4" w:rsidRDefault="00572F93" w:rsidP="00D54A64">
      <w:pPr>
        <w:pStyle w:val="BodyText"/>
        <w:spacing w:after="0"/>
        <w:jc w:val="both"/>
        <w:rPr>
          <w:rFonts w:ascii="Times New Roman" w:hAnsi="Times New Roman"/>
          <w:i/>
          <w:sz w:val="28"/>
          <w:szCs w:val="28"/>
          <w:lang w:val="sq-AL"/>
        </w:rPr>
      </w:pPr>
    </w:p>
    <w:p w14:paraId="2D9A4CA5" w14:textId="77777777" w:rsidR="008675CA" w:rsidRPr="005C63B4" w:rsidRDefault="00E54C97" w:rsidP="00D54A64">
      <w:pPr>
        <w:pStyle w:val="BodyText"/>
        <w:spacing w:after="0"/>
        <w:jc w:val="both"/>
        <w:rPr>
          <w:rFonts w:ascii="Times New Roman" w:hAnsi="Times New Roman"/>
          <w:b/>
          <w:sz w:val="28"/>
          <w:szCs w:val="28"/>
          <w:lang w:val="sq-AL"/>
        </w:rPr>
      </w:pPr>
      <w:r w:rsidRPr="005C63B4">
        <w:rPr>
          <w:rFonts w:ascii="Times New Roman" w:hAnsi="Times New Roman"/>
          <w:b/>
          <w:sz w:val="28"/>
          <w:szCs w:val="28"/>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C4ADD" w14:paraId="6F85D1AB" w14:textId="77777777" w:rsidTr="00FE3A8D">
        <w:tc>
          <w:tcPr>
            <w:tcW w:w="9056" w:type="dxa"/>
          </w:tcPr>
          <w:p w14:paraId="410B064F" w14:textId="2CCBFFF9" w:rsidR="00092682" w:rsidRPr="005C63B4" w:rsidRDefault="00092682" w:rsidP="00D54A64">
            <w:pPr>
              <w:tabs>
                <w:tab w:val="left" w:pos="567"/>
              </w:tabs>
              <w:jc w:val="both"/>
              <w:rPr>
                <w:rFonts w:ascii="Times New Roman" w:hAnsi="Times New Roman"/>
                <w:sz w:val="28"/>
                <w:szCs w:val="28"/>
                <w:lang w:val="sq-AL"/>
              </w:rPr>
            </w:pPr>
            <w:r w:rsidRPr="005C63B4">
              <w:rPr>
                <w:rFonts w:ascii="Times New Roman" w:hAnsi="Times New Roman"/>
                <w:sz w:val="28"/>
                <w:szCs w:val="28"/>
                <w:lang w:val="sq-AL"/>
              </w:rPr>
              <w:t>Çështjet kryesore që mendojmë se duhet të diskutohen lidhur me këtë nismë</w:t>
            </w:r>
            <w:r w:rsidR="00CC56CF" w:rsidRPr="005C63B4">
              <w:rPr>
                <w:rFonts w:ascii="Times New Roman" w:hAnsi="Times New Roman"/>
                <w:sz w:val="28"/>
                <w:szCs w:val="28"/>
                <w:lang w:val="sq-AL"/>
              </w:rPr>
              <w:t xml:space="preserve"> ligjore</w:t>
            </w:r>
            <w:r w:rsidRPr="005C63B4">
              <w:rPr>
                <w:rFonts w:ascii="Times New Roman" w:hAnsi="Times New Roman"/>
                <w:sz w:val="28"/>
                <w:szCs w:val="28"/>
                <w:lang w:val="sq-AL"/>
              </w:rPr>
              <w:t xml:space="preserve"> janë:</w:t>
            </w:r>
          </w:p>
          <w:p w14:paraId="75609F3A" w14:textId="2BB8FF3C" w:rsidR="00CB13AC" w:rsidRPr="005C63B4" w:rsidRDefault="00FD4B47" w:rsidP="00D54A64">
            <w:pPr>
              <w:pStyle w:val="ListParagraph"/>
              <w:numPr>
                <w:ilvl w:val="0"/>
                <w:numId w:val="86"/>
              </w:numPr>
              <w:spacing w:after="0"/>
              <w:jc w:val="both"/>
              <w:rPr>
                <w:rFonts w:ascii="Times New Roman" w:hAnsi="Times New Roman"/>
                <w:sz w:val="28"/>
                <w:szCs w:val="28"/>
                <w:lang w:val="sq-AL" w:eastAsia="en-US"/>
              </w:rPr>
            </w:pPr>
            <w:r w:rsidRPr="005C63B4">
              <w:rPr>
                <w:rFonts w:ascii="Times New Roman" w:hAnsi="Times New Roman"/>
                <w:sz w:val="28"/>
                <w:szCs w:val="28"/>
                <w:lang w:val="sq-AL"/>
              </w:rPr>
              <w:t xml:space="preserve">A mendoni se </w:t>
            </w:r>
            <w:r w:rsidR="005C53DA" w:rsidRPr="005C63B4">
              <w:rPr>
                <w:rFonts w:ascii="Times New Roman" w:hAnsi="Times New Roman"/>
                <w:sz w:val="28"/>
                <w:szCs w:val="28"/>
                <w:lang w:val="sq-AL"/>
              </w:rPr>
              <w:t>përmbajtja</w:t>
            </w:r>
            <w:r w:rsidR="00203E98" w:rsidRPr="005C63B4">
              <w:rPr>
                <w:rFonts w:ascii="Times New Roman" w:hAnsi="Times New Roman"/>
                <w:sz w:val="28"/>
                <w:szCs w:val="28"/>
                <w:lang w:val="sq-AL"/>
              </w:rPr>
              <w:t xml:space="preserve"> </w:t>
            </w:r>
            <w:r w:rsidR="005C53DA" w:rsidRPr="005C63B4">
              <w:rPr>
                <w:rFonts w:ascii="Times New Roman" w:hAnsi="Times New Roman"/>
                <w:sz w:val="28"/>
                <w:szCs w:val="28"/>
                <w:lang w:val="sq-AL"/>
              </w:rPr>
              <w:t>e</w:t>
            </w:r>
            <w:r w:rsidR="00A46EDE" w:rsidRPr="005C63B4">
              <w:rPr>
                <w:rFonts w:ascii="Times New Roman" w:hAnsi="Times New Roman"/>
                <w:sz w:val="28"/>
                <w:szCs w:val="28"/>
                <w:lang w:val="sq-AL"/>
              </w:rPr>
              <w:t xml:space="preserve"> </w:t>
            </w:r>
            <w:r w:rsidR="00745FB4" w:rsidRPr="005C63B4">
              <w:rPr>
                <w:rFonts w:ascii="Times New Roman" w:hAnsi="Times New Roman"/>
                <w:sz w:val="28"/>
                <w:szCs w:val="28"/>
                <w:lang w:val="sq-AL"/>
              </w:rPr>
              <w:t xml:space="preserve">projektligjit </w:t>
            </w:r>
            <w:r w:rsidR="000C3DE2" w:rsidRPr="005C63B4">
              <w:rPr>
                <w:rFonts w:ascii="Times New Roman" w:hAnsi="Times New Roman"/>
                <w:sz w:val="28"/>
                <w:szCs w:val="28"/>
                <w:lang w:val="sq-AL" w:eastAsia="en-US"/>
              </w:rPr>
              <w:t>“</w:t>
            </w:r>
            <w:r w:rsidR="002C19D9" w:rsidRPr="005C63B4">
              <w:rPr>
                <w:rFonts w:ascii="Times New Roman" w:hAnsi="Times New Roman"/>
                <w:sz w:val="28"/>
                <w:szCs w:val="28"/>
                <w:lang w:val="de-DE"/>
              </w:rPr>
              <w:t>Për sektorin e energjisë elektrike</w:t>
            </w:r>
            <w:r w:rsidR="002C19D9" w:rsidRPr="005C63B4">
              <w:rPr>
                <w:rFonts w:ascii="Times New Roman" w:hAnsi="Times New Roman"/>
                <w:sz w:val="28"/>
                <w:szCs w:val="28"/>
                <w:lang w:val="sq-AL"/>
              </w:rPr>
              <w:t>”,</w:t>
            </w:r>
            <w:r w:rsidR="002C3679" w:rsidRPr="005C63B4">
              <w:rPr>
                <w:rFonts w:ascii="Times New Roman" w:hAnsi="Times New Roman"/>
                <w:sz w:val="28"/>
                <w:szCs w:val="28"/>
                <w:lang w:val="sq-AL"/>
              </w:rPr>
              <w:t xml:space="preserve"> </w:t>
            </w:r>
            <w:r w:rsidR="002E181A" w:rsidRPr="005C63B4">
              <w:rPr>
                <w:rFonts w:ascii="Times New Roman" w:hAnsi="Times New Roman"/>
                <w:sz w:val="28"/>
                <w:szCs w:val="28"/>
                <w:lang w:val="sq-AL"/>
              </w:rPr>
              <w:t xml:space="preserve"> </w:t>
            </w:r>
            <w:r w:rsidR="0089745D" w:rsidRPr="005C63B4">
              <w:rPr>
                <w:rFonts w:ascii="Times New Roman" w:hAnsi="Times New Roman"/>
                <w:sz w:val="28"/>
                <w:szCs w:val="28"/>
                <w:lang w:val="sq-AL"/>
              </w:rPr>
              <w:t>mund të arrijë objektivat e synuara</w:t>
            </w:r>
            <w:r w:rsidR="00CB13AC" w:rsidRPr="005C63B4">
              <w:rPr>
                <w:rFonts w:ascii="Times New Roman" w:hAnsi="Times New Roman"/>
                <w:sz w:val="28"/>
                <w:szCs w:val="28"/>
                <w:lang w:val="sq-AL"/>
              </w:rPr>
              <w:t>?</w:t>
            </w:r>
          </w:p>
          <w:p w14:paraId="04EB468E" w14:textId="295206E3" w:rsidR="00454C25" w:rsidRPr="005C63B4" w:rsidRDefault="00206A93" w:rsidP="00D54A64">
            <w:pPr>
              <w:widowControl w:val="0"/>
              <w:numPr>
                <w:ilvl w:val="0"/>
                <w:numId w:val="86"/>
              </w:numPr>
              <w:tabs>
                <w:tab w:val="left" w:pos="384"/>
              </w:tabs>
              <w:autoSpaceDE w:val="0"/>
              <w:autoSpaceDN w:val="0"/>
              <w:spacing w:before="1"/>
              <w:ind w:right="120"/>
              <w:rPr>
                <w:rFonts w:ascii="Times New Roman" w:hAnsi="Times New Roman"/>
                <w:sz w:val="28"/>
                <w:szCs w:val="28"/>
                <w:lang w:val="sq-AL"/>
              </w:rPr>
            </w:pPr>
            <w:r w:rsidRPr="005C63B4">
              <w:rPr>
                <w:rFonts w:ascii="Times New Roman" w:hAnsi="Times New Roman"/>
                <w:sz w:val="28"/>
                <w:szCs w:val="28"/>
                <w:lang w:val="sq-AL"/>
              </w:rPr>
              <w:t>A mendoni se ka elementë t</w:t>
            </w:r>
            <w:r w:rsidR="00EF567E" w:rsidRPr="005C63B4">
              <w:rPr>
                <w:rFonts w:ascii="Times New Roman" w:hAnsi="Times New Roman"/>
                <w:sz w:val="28"/>
                <w:szCs w:val="28"/>
                <w:lang w:val="sq-AL"/>
              </w:rPr>
              <w:t>ë</w:t>
            </w:r>
            <w:r w:rsidRPr="005C63B4">
              <w:rPr>
                <w:rFonts w:ascii="Times New Roman" w:hAnsi="Times New Roman"/>
                <w:sz w:val="28"/>
                <w:szCs w:val="28"/>
                <w:lang w:val="sq-AL"/>
              </w:rPr>
              <w:t xml:space="preserve"> tjer</w:t>
            </w:r>
            <w:r w:rsidR="00EF567E" w:rsidRPr="005C63B4">
              <w:rPr>
                <w:rFonts w:ascii="Times New Roman" w:hAnsi="Times New Roman"/>
                <w:sz w:val="28"/>
                <w:szCs w:val="28"/>
                <w:lang w:val="sq-AL"/>
              </w:rPr>
              <w:t>ë</w:t>
            </w:r>
            <w:r w:rsidRPr="005C63B4">
              <w:rPr>
                <w:rFonts w:ascii="Times New Roman" w:hAnsi="Times New Roman"/>
                <w:sz w:val="28"/>
                <w:szCs w:val="28"/>
                <w:lang w:val="sq-AL"/>
              </w:rPr>
              <w:t xml:space="preserve"> q</w:t>
            </w:r>
            <w:r w:rsidR="00EF567E" w:rsidRPr="005C63B4">
              <w:rPr>
                <w:rFonts w:ascii="Times New Roman" w:hAnsi="Times New Roman"/>
                <w:sz w:val="28"/>
                <w:szCs w:val="28"/>
                <w:lang w:val="sq-AL"/>
              </w:rPr>
              <w:t>ë</w:t>
            </w:r>
            <w:r w:rsidRPr="005C63B4">
              <w:rPr>
                <w:rFonts w:ascii="Times New Roman" w:hAnsi="Times New Roman"/>
                <w:sz w:val="28"/>
                <w:szCs w:val="28"/>
                <w:lang w:val="sq-AL"/>
              </w:rPr>
              <w:t xml:space="preserve"> duhet të përfshihen në </w:t>
            </w:r>
            <w:r w:rsidR="00277A31" w:rsidRPr="005C63B4">
              <w:rPr>
                <w:rFonts w:ascii="Times New Roman" w:hAnsi="Times New Roman"/>
                <w:sz w:val="28"/>
                <w:szCs w:val="28"/>
                <w:lang w:val="sq-AL"/>
              </w:rPr>
              <w:t xml:space="preserve">këtë </w:t>
            </w:r>
            <w:r w:rsidR="001F2C78" w:rsidRPr="005C63B4">
              <w:rPr>
                <w:rFonts w:ascii="Times New Roman" w:hAnsi="Times New Roman"/>
                <w:sz w:val="28"/>
                <w:szCs w:val="28"/>
                <w:lang w:val="sq-AL"/>
              </w:rPr>
              <w:t>projektligj</w:t>
            </w:r>
            <w:r w:rsidRPr="005C63B4">
              <w:rPr>
                <w:rFonts w:ascii="Times New Roman" w:hAnsi="Times New Roman"/>
                <w:sz w:val="28"/>
                <w:szCs w:val="28"/>
                <w:lang w:val="sq-AL"/>
              </w:rPr>
              <w:t>?</w:t>
            </w:r>
          </w:p>
          <w:p w14:paraId="3D4086F2" w14:textId="060D2F9E" w:rsidR="00E4497D" w:rsidRPr="005C63B4" w:rsidRDefault="00E4497D" w:rsidP="00D54A64">
            <w:pPr>
              <w:widowControl w:val="0"/>
              <w:tabs>
                <w:tab w:val="left" w:pos="384"/>
              </w:tabs>
              <w:autoSpaceDE w:val="0"/>
              <w:autoSpaceDN w:val="0"/>
              <w:spacing w:before="1"/>
              <w:ind w:left="383" w:right="120"/>
              <w:rPr>
                <w:rFonts w:ascii="Times New Roman" w:hAnsi="Times New Roman"/>
                <w:sz w:val="28"/>
                <w:szCs w:val="28"/>
                <w:lang w:val="sq-AL"/>
              </w:rPr>
            </w:pPr>
          </w:p>
        </w:tc>
      </w:tr>
    </w:tbl>
    <w:p w14:paraId="6609AFC9" w14:textId="77777777" w:rsidR="00203E98" w:rsidRPr="005C63B4" w:rsidRDefault="00203E98" w:rsidP="00D54A64">
      <w:pPr>
        <w:rPr>
          <w:rFonts w:ascii="Times New Roman" w:hAnsi="Times New Roman"/>
          <w:sz w:val="28"/>
          <w:szCs w:val="28"/>
          <w:lang w:val="sq-AL"/>
        </w:rPr>
      </w:pPr>
    </w:p>
    <w:p w14:paraId="2965CDC2" w14:textId="26B32FD5" w:rsidR="00203E98" w:rsidRPr="005C63B4" w:rsidRDefault="00203E98" w:rsidP="00D54A64">
      <w:pPr>
        <w:rPr>
          <w:rFonts w:ascii="Times New Roman" w:hAnsi="Times New Roman"/>
          <w:sz w:val="28"/>
          <w:szCs w:val="28"/>
          <w:lang w:val="sq-AL"/>
        </w:rPr>
      </w:pPr>
    </w:p>
    <w:sectPr w:rsidR="00203E98" w:rsidRPr="005C63B4"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6"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7"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9"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0"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1"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3"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4"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5"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8"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9"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0"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1"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2"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5"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7"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8"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1"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2"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3"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4"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6"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1"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52"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53"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5"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7"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8"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0"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2"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63"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5"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6"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8"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70"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1"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2"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73"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5"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8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8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8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8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8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8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9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9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9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9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88"/>
  </w:num>
  <w:num w:numId="2" w16cid:durableId="1163156478">
    <w:abstractNumId w:val="67"/>
  </w:num>
  <w:num w:numId="3" w16cid:durableId="642657563">
    <w:abstractNumId w:val="91"/>
  </w:num>
  <w:num w:numId="4" w16cid:durableId="1088117976">
    <w:abstractNumId w:val="74"/>
  </w:num>
  <w:num w:numId="5" w16cid:durableId="276838422">
    <w:abstractNumId w:val="51"/>
  </w:num>
  <w:num w:numId="6" w16cid:durableId="1054355389">
    <w:abstractNumId w:val="8"/>
  </w:num>
  <w:num w:numId="7" w16cid:durableId="1515656129">
    <w:abstractNumId w:val="5"/>
  </w:num>
  <w:num w:numId="8" w16cid:durableId="36780633">
    <w:abstractNumId w:val="15"/>
  </w:num>
  <w:num w:numId="9" w16cid:durableId="164174179">
    <w:abstractNumId w:val="82"/>
  </w:num>
  <w:num w:numId="10" w16cid:durableId="1711103504">
    <w:abstractNumId w:val="59"/>
  </w:num>
  <w:num w:numId="11" w16cid:durableId="1234730934">
    <w:abstractNumId w:val="92"/>
  </w:num>
  <w:num w:numId="12" w16cid:durableId="728765139">
    <w:abstractNumId w:val="84"/>
  </w:num>
  <w:num w:numId="13" w16cid:durableId="2054648857">
    <w:abstractNumId w:val="6"/>
  </w:num>
  <w:num w:numId="14" w16cid:durableId="1907296630">
    <w:abstractNumId w:val="80"/>
  </w:num>
  <w:num w:numId="15" w16cid:durableId="878712683">
    <w:abstractNumId w:val="81"/>
  </w:num>
  <w:num w:numId="16" w16cid:durableId="714278966">
    <w:abstractNumId w:val="22"/>
  </w:num>
  <w:num w:numId="17" w16cid:durableId="2050450511">
    <w:abstractNumId w:val="30"/>
  </w:num>
  <w:num w:numId="18" w16cid:durableId="1789620237">
    <w:abstractNumId w:val="36"/>
  </w:num>
  <w:num w:numId="19" w16cid:durableId="19598120">
    <w:abstractNumId w:val="2"/>
  </w:num>
  <w:num w:numId="20" w16cid:durableId="1654262244">
    <w:abstractNumId w:val="19"/>
  </w:num>
  <w:num w:numId="21" w16cid:durableId="1032417087">
    <w:abstractNumId w:val="37"/>
  </w:num>
  <w:num w:numId="22" w16cid:durableId="404643391">
    <w:abstractNumId w:val="85"/>
  </w:num>
  <w:num w:numId="23" w16cid:durableId="432552695">
    <w:abstractNumId w:val="50"/>
  </w:num>
  <w:num w:numId="24" w16cid:durableId="146365310">
    <w:abstractNumId w:val="29"/>
  </w:num>
  <w:num w:numId="25" w16cid:durableId="571740666">
    <w:abstractNumId w:val="24"/>
  </w:num>
  <w:num w:numId="26" w16cid:durableId="1896307365">
    <w:abstractNumId w:val="52"/>
  </w:num>
  <w:num w:numId="27" w16cid:durableId="1942057833">
    <w:abstractNumId w:val="12"/>
  </w:num>
  <w:num w:numId="28" w16cid:durableId="597253856">
    <w:abstractNumId w:val="45"/>
  </w:num>
  <w:num w:numId="29" w16cid:durableId="961694504">
    <w:abstractNumId w:val="18"/>
  </w:num>
  <w:num w:numId="30" w16cid:durableId="355664256">
    <w:abstractNumId w:val="72"/>
  </w:num>
  <w:num w:numId="31" w16cid:durableId="1879510793">
    <w:abstractNumId w:val="79"/>
  </w:num>
  <w:num w:numId="32" w16cid:durableId="780497511">
    <w:abstractNumId w:val="41"/>
  </w:num>
  <w:num w:numId="33" w16cid:durableId="1628855354">
    <w:abstractNumId w:val="78"/>
  </w:num>
  <w:num w:numId="34" w16cid:durableId="1029914434">
    <w:abstractNumId w:val="3"/>
  </w:num>
  <w:num w:numId="35" w16cid:durableId="1179078609">
    <w:abstractNumId w:val="13"/>
  </w:num>
  <w:num w:numId="36" w16cid:durableId="601303369">
    <w:abstractNumId w:val="43"/>
  </w:num>
  <w:num w:numId="37" w16cid:durableId="772170035">
    <w:abstractNumId w:val="27"/>
  </w:num>
  <w:num w:numId="38" w16cid:durableId="1466391823">
    <w:abstractNumId w:val="20"/>
  </w:num>
  <w:num w:numId="39" w16cid:durableId="916090852">
    <w:abstractNumId w:val="56"/>
  </w:num>
  <w:num w:numId="40" w16cid:durableId="1012495034">
    <w:abstractNumId w:val="34"/>
  </w:num>
  <w:num w:numId="41" w16cid:durableId="1379819958">
    <w:abstractNumId w:val="40"/>
  </w:num>
  <w:num w:numId="42" w16cid:durableId="315842132">
    <w:abstractNumId w:val="62"/>
  </w:num>
  <w:num w:numId="43" w16cid:durableId="1229682186">
    <w:abstractNumId w:val="93"/>
  </w:num>
  <w:num w:numId="44" w16cid:durableId="1621108744">
    <w:abstractNumId w:val="69"/>
  </w:num>
  <w:num w:numId="45" w16cid:durableId="636296862">
    <w:abstractNumId w:val="71"/>
  </w:num>
  <w:num w:numId="46" w16cid:durableId="1434938260">
    <w:abstractNumId w:val="97"/>
  </w:num>
  <w:num w:numId="47" w16cid:durableId="442727046">
    <w:abstractNumId w:val="90"/>
  </w:num>
  <w:num w:numId="48" w16cid:durableId="1979871563">
    <w:abstractNumId w:val="10"/>
  </w:num>
  <w:num w:numId="49" w16cid:durableId="137458970">
    <w:abstractNumId w:val="21"/>
  </w:num>
  <w:num w:numId="50" w16cid:durableId="1709407154">
    <w:abstractNumId w:val="55"/>
  </w:num>
  <w:num w:numId="51" w16cid:durableId="39936579">
    <w:abstractNumId w:val="73"/>
  </w:num>
  <w:num w:numId="52" w16cid:durableId="1077282429">
    <w:abstractNumId w:val="95"/>
  </w:num>
  <w:num w:numId="53" w16cid:durableId="227769126">
    <w:abstractNumId w:val="66"/>
  </w:num>
  <w:num w:numId="54" w16cid:durableId="1756852124">
    <w:abstractNumId w:val="58"/>
  </w:num>
  <w:num w:numId="55" w16cid:durableId="1084567429">
    <w:abstractNumId w:val="60"/>
  </w:num>
  <w:num w:numId="56" w16cid:durableId="870461644">
    <w:abstractNumId w:val="83"/>
  </w:num>
  <w:num w:numId="57" w16cid:durableId="196548703">
    <w:abstractNumId w:val="64"/>
  </w:num>
  <w:num w:numId="58" w16cid:durableId="182018888">
    <w:abstractNumId w:val="86"/>
  </w:num>
  <w:num w:numId="59" w16cid:durableId="1569994277">
    <w:abstractNumId w:val="7"/>
  </w:num>
  <w:num w:numId="60" w16cid:durableId="1166900872">
    <w:abstractNumId w:val="96"/>
  </w:num>
  <w:num w:numId="61" w16cid:durableId="199128849">
    <w:abstractNumId w:val="48"/>
  </w:num>
  <w:num w:numId="62" w16cid:durableId="1164659741">
    <w:abstractNumId w:val="53"/>
  </w:num>
  <w:num w:numId="63" w16cid:durableId="192234445">
    <w:abstractNumId w:val="87"/>
  </w:num>
  <w:num w:numId="64" w16cid:durableId="1970672271">
    <w:abstractNumId w:val="61"/>
  </w:num>
  <w:num w:numId="65" w16cid:durableId="729617577">
    <w:abstractNumId w:val="70"/>
  </w:num>
  <w:num w:numId="66" w16cid:durableId="438571003">
    <w:abstractNumId w:val="25"/>
  </w:num>
  <w:num w:numId="67" w16cid:durableId="1633248089">
    <w:abstractNumId w:val="57"/>
  </w:num>
  <w:num w:numId="68" w16cid:durableId="1776552785">
    <w:abstractNumId w:val="0"/>
  </w:num>
  <w:num w:numId="69" w16cid:durableId="1694383987">
    <w:abstractNumId w:val="16"/>
  </w:num>
  <w:num w:numId="70" w16cid:durableId="841432006">
    <w:abstractNumId w:val="1"/>
  </w:num>
  <w:num w:numId="71" w16cid:durableId="1520316975">
    <w:abstractNumId w:val="68"/>
  </w:num>
  <w:num w:numId="72" w16cid:durableId="9114951">
    <w:abstractNumId w:val="9"/>
  </w:num>
  <w:num w:numId="73" w16cid:durableId="1213688812">
    <w:abstractNumId w:val="35"/>
  </w:num>
  <w:num w:numId="74" w16cid:durableId="1473063396">
    <w:abstractNumId w:val="44"/>
  </w:num>
  <w:num w:numId="75" w16cid:durableId="52583184">
    <w:abstractNumId w:val="89"/>
  </w:num>
  <w:num w:numId="76" w16cid:durableId="1527324323">
    <w:abstractNumId w:val="77"/>
  </w:num>
  <w:num w:numId="77" w16cid:durableId="1966035237">
    <w:abstractNumId w:val="32"/>
  </w:num>
  <w:num w:numId="78" w16cid:durableId="1410495102">
    <w:abstractNumId w:val="23"/>
  </w:num>
  <w:num w:numId="79" w16cid:durableId="1910574966">
    <w:abstractNumId w:val="94"/>
  </w:num>
  <w:num w:numId="80" w16cid:durableId="1797990659">
    <w:abstractNumId w:val="31"/>
  </w:num>
  <w:num w:numId="81" w16cid:durableId="976955746">
    <w:abstractNumId w:val="65"/>
  </w:num>
  <w:num w:numId="82" w16cid:durableId="1766731788">
    <w:abstractNumId w:val="42"/>
  </w:num>
  <w:num w:numId="83" w16cid:durableId="93980004">
    <w:abstractNumId w:val="46"/>
  </w:num>
  <w:num w:numId="84" w16cid:durableId="2090342077">
    <w:abstractNumId w:val="4"/>
  </w:num>
  <w:num w:numId="85" w16cid:durableId="1476794164">
    <w:abstractNumId w:val="28"/>
  </w:num>
  <w:num w:numId="86" w16cid:durableId="493378588">
    <w:abstractNumId w:val="54"/>
  </w:num>
  <w:num w:numId="87" w16cid:durableId="14770130">
    <w:abstractNumId w:val="49"/>
  </w:num>
  <w:num w:numId="88" w16cid:durableId="1687291963">
    <w:abstractNumId w:val="39"/>
  </w:num>
  <w:num w:numId="89" w16cid:durableId="3674560">
    <w:abstractNumId w:val="33"/>
  </w:num>
  <w:num w:numId="90" w16cid:durableId="383985174">
    <w:abstractNumId w:val="17"/>
  </w:num>
  <w:num w:numId="91" w16cid:durableId="1212812120">
    <w:abstractNumId w:val="63"/>
  </w:num>
  <w:num w:numId="92" w16cid:durableId="1828009568">
    <w:abstractNumId w:val="38"/>
  </w:num>
  <w:num w:numId="93" w16cid:durableId="949043192">
    <w:abstractNumId w:val="26"/>
  </w:num>
  <w:num w:numId="94" w16cid:durableId="1184712813">
    <w:abstractNumId w:val="47"/>
  </w:num>
  <w:num w:numId="95" w16cid:durableId="1098600884">
    <w:abstractNumId w:val="75"/>
  </w:num>
  <w:num w:numId="96" w16cid:durableId="893345415">
    <w:abstractNumId w:val="11"/>
  </w:num>
  <w:num w:numId="97" w16cid:durableId="527526273">
    <w:abstractNumId w:val="14"/>
  </w:num>
  <w:num w:numId="98" w16cid:durableId="1076517556">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776A"/>
    <w:rsid w:val="0003493C"/>
    <w:rsid w:val="00044810"/>
    <w:rsid w:val="00052752"/>
    <w:rsid w:val="00055DE8"/>
    <w:rsid w:val="00061727"/>
    <w:rsid w:val="0006546C"/>
    <w:rsid w:val="0007347E"/>
    <w:rsid w:val="00087972"/>
    <w:rsid w:val="00092682"/>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43ED7"/>
    <w:rsid w:val="002477BC"/>
    <w:rsid w:val="002726E3"/>
    <w:rsid w:val="00277A31"/>
    <w:rsid w:val="00284BB2"/>
    <w:rsid w:val="002B048F"/>
    <w:rsid w:val="002C19D9"/>
    <w:rsid w:val="002C3679"/>
    <w:rsid w:val="002D3F25"/>
    <w:rsid w:val="002E181A"/>
    <w:rsid w:val="002E53FF"/>
    <w:rsid w:val="002E7E3C"/>
    <w:rsid w:val="002F0D44"/>
    <w:rsid w:val="003315E9"/>
    <w:rsid w:val="00334CD0"/>
    <w:rsid w:val="003435BD"/>
    <w:rsid w:val="00343EA7"/>
    <w:rsid w:val="003454C0"/>
    <w:rsid w:val="00361D15"/>
    <w:rsid w:val="003708D4"/>
    <w:rsid w:val="00375A36"/>
    <w:rsid w:val="00383384"/>
    <w:rsid w:val="00383D55"/>
    <w:rsid w:val="00383F0A"/>
    <w:rsid w:val="00384D29"/>
    <w:rsid w:val="00392518"/>
    <w:rsid w:val="003941C6"/>
    <w:rsid w:val="003A291A"/>
    <w:rsid w:val="003C4ADD"/>
    <w:rsid w:val="003F4071"/>
    <w:rsid w:val="004046E2"/>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6100"/>
    <w:rsid w:val="00554255"/>
    <w:rsid w:val="005551EC"/>
    <w:rsid w:val="00561566"/>
    <w:rsid w:val="00572F93"/>
    <w:rsid w:val="00574E6C"/>
    <w:rsid w:val="005942E3"/>
    <w:rsid w:val="00596E1F"/>
    <w:rsid w:val="00597D72"/>
    <w:rsid w:val="005C53DA"/>
    <w:rsid w:val="005C63B4"/>
    <w:rsid w:val="005D01F9"/>
    <w:rsid w:val="005D67CE"/>
    <w:rsid w:val="0060245B"/>
    <w:rsid w:val="0061742F"/>
    <w:rsid w:val="006231E6"/>
    <w:rsid w:val="00645549"/>
    <w:rsid w:val="00647695"/>
    <w:rsid w:val="006632E2"/>
    <w:rsid w:val="00666B0D"/>
    <w:rsid w:val="006926B6"/>
    <w:rsid w:val="00696F40"/>
    <w:rsid w:val="006A70F7"/>
    <w:rsid w:val="006B08CA"/>
    <w:rsid w:val="006B2424"/>
    <w:rsid w:val="006B5C5F"/>
    <w:rsid w:val="006B71DE"/>
    <w:rsid w:val="0070191D"/>
    <w:rsid w:val="00720851"/>
    <w:rsid w:val="00731B03"/>
    <w:rsid w:val="00745FB4"/>
    <w:rsid w:val="00760432"/>
    <w:rsid w:val="0076075D"/>
    <w:rsid w:val="007765B7"/>
    <w:rsid w:val="007817F3"/>
    <w:rsid w:val="00785430"/>
    <w:rsid w:val="007A3520"/>
    <w:rsid w:val="007B25CB"/>
    <w:rsid w:val="007B4AD9"/>
    <w:rsid w:val="007C18CB"/>
    <w:rsid w:val="007F3499"/>
    <w:rsid w:val="00803493"/>
    <w:rsid w:val="00805C10"/>
    <w:rsid w:val="008130DA"/>
    <w:rsid w:val="00826133"/>
    <w:rsid w:val="008535A2"/>
    <w:rsid w:val="008675CA"/>
    <w:rsid w:val="0089476B"/>
    <w:rsid w:val="0089745D"/>
    <w:rsid w:val="008B26AE"/>
    <w:rsid w:val="008C4FD5"/>
    <w:rsid w:val="008C64CB"/>
    <w:rsid w:val="008F0DBA"/>
    <w:rsid w:val="00902467"/>
    <w:rsid w:val="00930D14"/>
    <w:rsid w:val="009318AF"/>
    <w:rsid w:val="00957E1F"/>
    <w:rsid w:val="009713D0"/>
    <w:rsid w:val="00991965"/>
    <w:rsid w:val="00994C29"/>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76E89"/>
    <w:rsid w:val="00B82C4C"/>
    <w:rsid w:val="00B87EE9"/>
    <w:rsid w:val="00B93DDC"/>
    <w:rsid w:val="00BB066B"/>
    <w:rsid w:val="00BB2BFF"/>
    <w:rsid w:val="00BD2CC2"/>
    <w:rsid w:val="00BF2355"/>
    <w:rsid w:val="00BF6669"/>
    <w:rsid w:val="00BF7C94"/>
    <w:rsid w:val="00C216BA"/>
    <w:rsid w:val="00C52325"/>
    <w:rsid w:val="00C57907"/>
    <w:rsid w:val="00C60DE2"/>
    <w:rsid w:val="00C64006"/>
    <w:rsid w:val="00C70AE0"/>
    <w:rsid w:val="00C87D70"/>
    <w:rsid w:val="00CA71FF"/>
    <w:rsid w:val="00CB062B"/>
    <w:rsid w:val="00CB0BE7"/>
    <w:rsid w:val="00CB13AC"/>
    <w:rsid w:val="00CC3D10"/>
    <w:rsid w:val="00CC56CF"/>
    <w:rsid w:val="00D051C6"/>
    <w:rsid w:val="00D0544D"/>
    <w:rsid w:val="00D06CBA"/>
    <w:rsid w:val="00D11EF8"/>
    <w:rsid w:val="00D14CB7"/>
    <w:rsid w:val="00D3153E"/>
    <w:rsid w:val="00D44114"/>
    <w:rsid w:val="00D45127"/>
    <w:rsid w:val="00D54A64"/>
    <w:rsid w:val="00D55724"/>
    <w:rsid w:val="00D61801"/>
    <w:rsid w:val="00D65C81"/>
    <w:rsid w:val="00D75573"/>
    <w:rsid w:val="00D9357B"/>
    <w:rsid w:val="00DA7378"/>
    <w:rsid w:val="00DC24E3"/>
    <w:rsid w:val="00DE1DCB"/>
    <w:rsid w:val="00E069FA"/>
    <w:rsid w:val="00E27A78"/>
    <w:rsid w:val="00E42CA5"/>
    <w:rsid w:val="00E4497D"/>
    <w:rsid w:val="00E468D5"/>
    <w:rsid w:val="00E46FDB"/>
    <w:rsid w:val="00E54C97"/>
    <w:rsid w:val="00E5604D"/>
    <w:rsid w:val="00EB47AB"/>
    <w:rsid w:val="00EC1CFE"/>
    <w:rsid w:val="00ED16BC"/>
    <w:rsid w:val="00EE585C"/>
    <w:rsid w:val="00EF567E"/>
    <w:rsid w:val="00EF5B88"/>
    <w:rsid w:val="00F020DD"/>
    <w:rsid w:val="00F04DE4"/>
    <w:rsid w:val="00F05EC4"/>
    <w:rsid w:val="00F2467C"/>
    <w:rsid w:val="00F34765"/>
    <w:rsid w:val="00F378E5"/>
    <w:rsid w:val="00F45F0A"/>
    <w:rsid w:val="00F46442"/>
    <w:rsid w:val="00F8037C"/>
    <w:rsid w:val="00F84ECB"/>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26</Pages>
  <Words>11093</Words>
  <Characters>63234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25</cp:revision>
  <cp:lastPrinted>2024-04-04T08:22:00Z</cp:lastPrinted>
  <dcterms:created xsi:type="dcterms:W3CDTF">2025-07-01T09:48:00Z</dcterms:created>
  <dcterms:modified xsi:type="dcterms:W3CDTF">2026-04-22T09:17:00Z</dcterms:modified>
</cp:coreProperties>
</file>