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A574" w14:textId="77777777" w:rsidR="005B6D2B" w:rsidRPr="00F20A8C" w:rsidRDefault="005B6D2B" w:rsidP="005B6D2B">
      <w:pPr>
        <w:jc w:val="center"/>
        <w:rPr>
          <w:rFonts w:asciiTheme="minorHAnsi" w:hAnsiTheme="minorHAnsi"/>
          <w:b/>
          <w:bCs/>
          <w:iCs/>
          <w:szCs w:val="24"/>
          <w:lang w:bidi="en-GB"/>
        </w:rPr>
      </w:pPr>
      <w:r w:rsidRPr="00F20A8C">
        <w:rPr>
          <w:rFonts w:asciiTheme="minorHAnsi" w:hAnsiTheme="minorHAnsi"/>
          <w:b/>
          <w:bCs/>
          <w:iCs/>
          <w:szCs w:val="24"/>
          <w:lang w:bidi="en-GB"/>
        </w:rPr>
        <w:t>Raport për rezultatet e konsultimeve publike</w:t>
      </w:r>
    </w:p>
    <w:p w14:paraId="6815FC6D" w14:textId="77777777" w:rsidR="005B6D2B" w:rsidRPr="00F20A8C" w:rsidRDefault="005B6D2B" w:rsidP="005B6D2B">
      <w:pPr>
        <w:rPr>
          <w:rFonts w:asciiTheme="minorHAnsi" w:hAnsiTheme="minorHAnsi"/>
          <w:szCs w:val="24"/>
        </w:rPr>
      </w:pPr>
    </w:p>
    <w:p w14:paraId="2E81BEA9" w14:textId="77777777" w:rsidR="005B6D2B" w:rsidRPr="00F20A8C" w:rsidRDefault="005B6D2B" w:rsidP="005B6D2B">
      <w:pPr>
        <w:pStyle w:val="ListParagraph"/>
        <w:numPr>
          <w:ilvl w:val="0"/>
          <w:numId w:val="1"/>
        </w:numPr>
        <w:jc w:val="both"/>
        <w:rPr>
          <w:rFonts w:asciiTheme="minorHAnsi" w:hAnsiTheme="minorHAnsi" w:cstheme="minorHAnsi"/>
          <w:b/>
          <w:bCs/>
          <w:szCs w:val="24"/>
        </w:rPr>
      </w:pPr>
      <w:r w:rsidRPr="00F20A8C">
        <w:rPr>
          <w:rFonts w:asciiTheme="minorHAnsi" w:hAnsiTheme="minorHAnsi" w:cstheme="minorHAnsi"/>
          <w:b/>
          <w:bCs/>
          <w:szCs w:val="24"/>
        </w:rPr>
        <w:t>Titulli i draft aktit</w:t>
      </w:r>
    </w:p>
    <w:p w14:paraId="6D10F64F" w14:textId="35262770" w:rsidR="00A126DA" w:rsidRPr="00F20A8C" w:rsidRDefault="00A126DA" w:rsidP="00A126DA">
      <w:pPr>
        <w:ind w:left="360"/>
        <w:jc w:val="both"/>
        <w:rPr>
          <w:rFonts w:asciiTheme="minorHAnsi" w:hAnsiTheme="minorHAnsi" w:cstheme="minorHAnsi"/>
          <w:color w:val="00B0F0"/>
          <w:szCs w:val="22"/>
        </w:rPr>
      </w:pPr>
      <w:r w:rsidRPr="00F20A8C">
        <w:rPr>
          <w:rFonts w:asciiTheme="minorHAnsi" w:hAnsiTheme="minorHAnsi" w:cstheme="minorHAnsi"/>
          <w:color w:val="00B0F0"/>
          <w:szCs w:val="22"/>
        </w:rPr>
        <w:t xml:space="preserve">Projektligj </w:t>
      </w:r>
      <w:r w:rsidR="00F712AF" w:rsidRPr="00F20A8C">
        <w:rPr>
          <w:rFonts w:asciiTheme="minorHAnsi" w:hAnsiTheme="minorHAnsi" w:cstheme="minorHAnsi"/>
          <w:color w:val="00B0F0"/>
          <w:szCs w:val="22"/>
        </w:rPr>
        <w:t>“P</w:t>
      </w:r>
      <w:r w:rsidRPr="00F20A8C">
        <w:rPr>
          <w:rFonts w:asciiTheme="minorHAnsi" w:hAnsiTheme="minorHAnsi" w:cstheme="minorHAnsi"/>
          <w:color w:val="00B0F0"/>
          <w:szCs w:val="22"/>
        </w:rPr>
        <w:t>ër disa shtesa dhe ndryshime në Ligjin 55/2020 “Për shërbimet e pagesave”</w:t>
      </w:r>
      <w:r w:rsidR="00F712AF" w:rsidRPr="00F20A8C">
        <w:rPr>
          <w:rFonts w:asciiTheme="minorHAnsi" w:hAnsiTheme="minorHAnsi" w:cstheme="minorHAnsi"/>
          <w:color w:val="00B0F0"/>
          <w:szCs w:val="22"/>
        </w:rPr>
        <w:t>”</w:t>
      </w:r>
    </w:p>
    <w:p w14:paraId="427C23CC" w14:textId="77777777" w:rsidR="00A121AB" w:rsidRPr="00F20A8C" w:rsidRDefault="00A121AB" w:rsidP="00A121AB">
      <w:pPr>
        <w:ind w:left="360"/>
        <w:jc w:val="both"/>
        <w:rPr>
          <w:rFonts w:asciiTheme="minorHAnsi" w:hAnsiTheme="minorHAnsi" w:cstheme="minorHAnsi"/>
          <w:b/>
          <w:bCs/>
          <w:szCs w:val="24"/>
        </w:rPr>
      </w:pPr>
    </w:p>
    <w:p w14:paraId="2F76311C" w14:textId="77777777" w:rsidR="005B6D2B" w:rsidRPr="00F20A8C" w:rsidRDefault="005B6D2B" w:rsidP="005B6D2B">
      <w:pPr>
        <w:pStyle w:val="ListParagraph"/>
        <w:numPr>
          <w:ilvl w:val="0"/>
          <w:numId w:val="1"/>
        </w:numPr>
        <w:jc w:val="both"/>
        <w:rPr>
          <w:rFonts w:asciiTheme="minorHAnsi" w:hAnsiTheme="minorHAnsi" w:cstheme="minorHAnsi"/>
          <w:i/>
          <w:iCs/>
          <w:szCs w:val="24"/>
        </w:rPr>
      </w:pPr>
      <w:r w:rsidRPr="00F20A8C">
        <w:rPr>
          <w:rFonts w:asciiTheme="minorHAnsi" w:hAnsiTheme="minorHAnsi" w:cstheme="minorHAnsi"/>
          <w:b/>
          <w:bCs/>
          <w:szCs w:val="24"/>
        </w:rPr>
        <w:t>Kohëzgjatja e konsultimeve</w:t>
      </w:r>
    </w:p>
    <w:p w14:paraId="6446DD81" w14:textId="77777777" w:rsidR="005B6D2B" w:rsidRPr="00F20A8C" w:rsidRDefault="005B6D2B" w:rsidP="005B6D2B">
      <w:pPr>
        <w:ind w:left="360"/>
        <w:jc w:val="both"/>
        <w:rPr>
          <w:rFonts w:asciiTheme="minorHAnsi" w:hAnsiTheme="minorHAnsi" w:cstheme="minorHAnsi"/>
          <w:i/>
          <w:iCs/>
          <w:szCs w:val="24"/>
        </w:rPr>
      </w:pPr>
      <w:r w:rsidRPr="00F20A8C">
        <w:rPr>
          <w:rFonts w:asciiTheme="minorHAnsi" w:hAnsiTheme="minorHAnsi" w:cstheme="minorHAnsi"/>
          <w:i/>
          <w:iCs/>
          <w:szCs w:val="24"/>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122F4716" w14:textId="77777777" w:rsidR="00106273" w:rsidRPr="00F20A8C" w:rsidRDefault="00106273" w:rsidP="005B6D2B">
      <w:pPr>
        <w:ind w:left="360"/>
        <w:jc w:val="both"/>
        <w:rPr>
          <w:rFonts w:asciiTheme="minorHAnsi" w:hAnsiTheme="minorHAnsi" w:cstheme="minorHAnsi"/>
          <w:i/>
          <w:iCs/>
          <w:szCs w:val="24"/>
        </w:rPr>
      </w:pPr>
    </w:p>
    <w:p w14:paraId="3E797C80" w14:textId="6F2D6799" w:rsidR="00106273" w:rsidRPr="00F20A8C" w:rsidRDefault="00106273" w:rsidP="00106273">
      <w:pPr>
        <w:ind w:left="360"/>
        <w:jc w:val="both"/>
        <w:rPr>
          <w:rFonts w:asciiTheme="minorHAnsi" w:hAnsiTheme="minorHAnsi" w:cstheme="minorHAnsi"/>
          <w:color w:val="00B0F0"/>
          <w:szCs w:val="22"/>
        </w:rPr>
      </w:pPr>
      <w:r w:rsidRPr="00F20A8C">
        <w:rPr>
          <w:rFonts w:asciiTheme="minorHAnsi" w:hAnsiTheme="minorHAnsi" w:cstheme="minorHAnsi"/>
          <w:color w:val="00B0F0"/>
          <w:szCs w:val="22"/>
        </w:rPr>
        <w:t>Konsultimet paraprake me</w:t>
      </w:r>
      <w:r w:rsidR="00826BFA" w:rsidRPr="00F20A8C">
        <w:rPr>
          <w:rFonts w:asciiTheme="minorHAnsi" w:hAnsiTheme="minorHAnsi" w:cstheme="minorHAnsi"/>
          <w:color w:val="00B0F0"/>
          <w:szCs w:val="22"/>
        </w:rPr>
        <w:t xml:space="preserve"> subjektet e </w:t>
      </w:r>
      <w:r w:rsidR="00D7034A" w:rsidRPr="00F20A8C">
        <w:rPr>
          <w:rFonts w:asciiTheme="minorHAnsi" w:hAnsiTheme="minorHAnsi" w:cstheme="minorHAnsi"/>
          <w:color w:val="00B0F0"/>
          <w:szCs w:val="22"/>
        </w:rPr>
        <w:t>mbikëqyrura</w:t>
      </w:r>
      <w:r w:rsidR="00826BFA" w:rsidRPr="00F20A8C">
        <w:rPr>
          <w:rFonts w:asciiTheme="minorHAnsi" w:hAnsiTheme="minorHAnsi" w:cstheme="minorHAnsi"/>
          <w:color w:val="00B0F0"/>
          <w:szCs w:val="22"/>
        </w:rPr>
        <w:t xml:space="preserve"> nga B</w:t>
      </w:r>
      <w:r w:rsidR="00F62CF1" w:rsidRPr="00F20A8C">
        <w:rPr>
          <w:rFonts w:asciiTheme="minorHAnsi" w:hAnsiTheme="minorHAnsi" w:cstheme="minorHAnsi"/>
          <w:color w:val="00B0F0"/>
          <w:szCs w:val="22"/>
        </w:rPr>
        <w:t xml:space="preserve">anka e </w:t>
      </w:r>
      <w:r w:rsidR="00826BFA" w:rsidRPr="00F20A8C">
        <w:rPr>
          <w:rFonts w:asciiTheme="minorHAnsi" w:hAnsiTheme="minorHAnsi" w:cstheme="minorHAnsi"/>
          <w:color w:val="00B0F0"/>
          <w:szCs w:val="22"/>
        </w:rPr>
        <w:t>S</w:t>
      </w:r>
      <w:r w:rsidR="00F62CF1" w:rsidRPr="00F20A8C">
        <w:rPr>
          <w:rFonts w:asciiTheme="minorHAnsi" w:hAnsiTheme="minorHAnsi" w:cstheme="minorHAnsi"/>
          <w:color w:val="00B0F0"/>
          <w:szCs w:val="22"/>
        </w:rPr>
        <w:t>hqip</w:t>
      </w:r>
      <w:r w:rsidR="003B262F" w:rsidRPr="00F20A8C">
        <w:rPr>
          <w:rFonts w:asciiTheme="minorHAnsi" w:hAnsiTheme="minorHAnsi" w:cstheme="minorHAnsi"/>
          <w:color w:val="00B0F0"/>
          <w:szCs w:val="22"/>
        </w:rPr>
        <w:t>ë</w:t>
      </w:r>
      <w:r w:rsidR="00F62CF1" w:rsidRPr="00F20A8C">
        <w:rPr>
          <w:rFonts w:asciiTheme="minorHAnsi" w:hAnsiTheme="minorHAnsi" w:cstheme="minorHAnsi"/>
          <w:color w:val="00B0F0"/>
          <w:szCs w:val="22"/>
        </w:rPr>
        <w:t>ris</w:t>
      </w:r>
      <w:r w:rsidR="003B262F" w:rsidRPr="00F20A8C">
        <w:rPr>
          <w:rFonts w:asciiTheme="minorHAnsi" w:hAnsiTheme="minorHAnsi" w:cstheme="minorHAnsi"/>
          <w:color w:val="00B0F0"/>
          <w:szCs w:val="22"/>
        </w:rPr>
        <w:t>ë</w:t>
      </w:r>
      <w:r w:rsidR="00826BFA" w:rsidRPr="00F20A8C">
        <w:rPr>
          <w:rFonts w:asciiTheme="minorHAnsi" w:hAnsiTheme="minorHAnsi" w:cstheme="minorHAnsi"/>
          <w:color w:val="00B0F0"/>
          <w:szCs w:val="22"/>
        </w:rPr>
        <w:t xml:space="preserve"> (</w:t>
      </w:r>
      <w:r w:rsidR="00D7034A" w:rsidRPr="00F20A8C">
        <w:rPr>
          <w:rFonts w:asciiTheme="minorHAnsi" w:hAnsiTheme="minorHAnsi" w:cstheme="minorHAnsi"/>
          <w:color w:val="00B0F0"/>
          <w:szCs w:val="22"/>
        </w:rPr>
        <w:t>b</w:t>
      </w:r>
      <w:r w:rsidR="00826BFA" w:rsidRPr="00F20A8C">
        <w:rPr>
          <w:rFonts w:asciiTheme="minorHAnsi" w:hAnsiTheme="minorHAnsi" w:cstheme="minorHAnsi"/>
          <w:color w:val="00B0F0"/>
          <w:szCs w:val="22"/>
        </w:rPr>
        <w:t xml:space="preserve">anka, </w:t>
      </w:r>
      <w:r w:rsidR="00D7034A" w:rsidRPr="00F20A8C">
        <w:rPr>
          <w:rFonts w:asciiTheme="minorHAnsi" w:hAnsiTheme="minorHAnsi" w:cstheme="minorHAnsi"/>
          <w:color w:val="00B0F0"/>
          <w:szCs w:val="22"/>
        </w:rPr>
        <w:t>institucione pagesash</w:t>
      </w:r>
      <w:r w:rsidR="00826BFA" w:rsidRPr="00F20A8C">
        <w:rPr>
          <w:rFonts w:asciiTheme="minorHAnsi" w:hAnsiTheme="minorHAnsi" w:cstheme="minorHAnsi"/>
          <w:color w:val="00B0F0"/>
          <w:szCs w:val="22"/>
        </w:rPr>
        <w:t xml:space="preserve">, </w:t>
      </w:r>
      <w:r w:rsidR="00D7034A" w:rsidRPr="00F20A8C">
        <w:rPr>
          <w:rFonts w:asciiTheme="minorHAnsi" w:hAnsiTheme="minorHAnsi" w:cstheme="minorHAnsi"/>
          <w:color w:val="00B0F0"/>
          <w:szCs w:val="22"/>
        </w:rPr>
        <w:t>institucione t</w:t>
      </w:r>
      <w:r w:rsidR="00066F78" w:rsidRPr="00F20A8C">
        <w:rPr>
          <w:rFonts w:asciiTheme="minorHAnsi" w:hAnsiTheme="minorHAnsi" w:cstheme="minorHAnsi"/>
          <w:color w:val="00B0F0"/>
          <w:szCs w:val="22"/>
        </w:rPr>
        <w:t>ë</w:t>
      </w:r>
      <w:r w:rsidR="00D7034A" w:rsidRPr="00F20A8C">
        <w:rPr>
          <w:rFonts w:asciiTheme="minorHAnsi" w:hAnsiTheme="minorHAnsi" w:cstheme="minorHAnsi"/>
          <w:color w:val="00B0F0"/>
          <w:szCs w:val="22"/>
        </w:rPr>
        <w:t xml:space="preserve"> paras</w:t>
      </w:r>
      <w:r w:rsidR="00066F78" w:rsidRPr="00F20A8C">
        <w:rPr>
          <w:rFonts w:asciiTheme="minorHAnsi" w:hAnsiTheme="minorHAnsi" w:cstheme="minorHAnsi"/>
          <w:color w:val="00B0F0"/>
          <w:szCs w:val="22"/>
        </w:rPr>
        <w:t>ë</w:t>
      </w:r>
      <w:r w:rsidR="00D7034A" w:rsidRPr="00F20A8C">
        <w:rPr>
          <w:rFonts w:asciiTheme="minorHAnsi" w:hAnsiTheme="minorHAnsi" w:cstheme="minorHAnsi"/>
          <w:color w:val="00B0F0"/>
          <w:szCs w:val="22"/>
        </w:rPr>
        <w:t xml:space="preserve"> elektronike</w:t>
      </w:r>
      <w:r w:rsidR="00826BFA" w:rsidRPr="00F20A8C">
        <w:rPr>
          <w:rFonts w:asciiTheme="minorHAnsi" w:hAnsiTheme="minorHAnsi" w:cstheme="minorHAnsi"/>
          <w:color w:val="00B0F0"/>
          <w:szCs w:val="22"/>
        </w:rPr>
        <w:t>)</w:t>
      </w:r>
      <w:r w:rsidRPr="00F20A8C">
        <w:rPr>
          <w:rFonts w:asciiTheme="minorHAnsi" w:hAnsiTheme="minorHAnsi" w:cstheme="minorHAnsi"/>
          <w:color w:val="00B0F0"/>
          <w:szCs w:val="22"/>
        </w:rPr>
        <w:t xml:space="preserve"> për hartimin e draftit fillestar janë zhvilluar në periudhën </w:t>
      </w:r>
      <w:r w:rsidR="00826BFA" w:rsidRPr="00F20A8C">
        <w:rPr>
          <w:rFonts w:asciiTheme="minorHAnsi" w:hAnsiTheme="minorHAnsi" w:cstheme="minorHAnsi"/>
          <w:color w:val="00B0F0"/>
          <w:szCs w:val="22"/>
        </w:rPr>
        <w:t>30</w:t>
      </w:r>
      <w:r w:rsidR="00D7034A" w:rsidRPr="00F20A8C">
        <w:rPr>
          <w:rFonts w:asciiTheme="minorHAnsi" w:hAnsiTheme="minorHAnsi" w:cstheme="minorHAnsi"/>
          <w:color w:val="00B0F0"/>
          <w:szCs w:val="22"/>
        </w:rPr>
        <w:t>.03.2026</w:t>
      </w:r>
      <w:r w:rsidRPr="00F20A8C">
        <w:rPr>
          <w:rFonts w:asciiTheme="minorHAnsi" w:hAnsiTheme="minorHAnsi" w:cstheme="minorHAnsi"/>
          <w:color w:val="00B0F0"/>
          <w:szCs w:val="22"/>
        </w:rPr>
        <w:t xml:space="preserve"> – </w:t>
      </w:r>
      <w:r w:rsidR="00826BFA" w:rsidRPr="00F20A8C">
        <w:rPr>
          <w:rFonts w:asciiTheme="minorHAnsi" w:hAnsiTheme="minorHAnsi" w:cstheme="minorHAnsi"/>
          <w:color w:val="00B0F0"/>
          <w:szCs w:val="22"/>
        </w:rPr>
        <w:t>20</w:t>
      </w:r>
      <w:r w:rsidR="00D7034A" w:rsidRPr="00F20A8C">
        <w:rPr>
          <w:rFonts w:asciiTheme="minorHAnsi" w:hAnsiTheme="minorHAnsi" w:cstheme="minorHAnsi"/>
          <w:color w:val="00B0F0"/>
          <w:szCs w:val="22"/>
        </w:rPr>
        <w:t>.04.</w:t>
      </w:r>
      <w:r w:rsidRPr="00F20A8C">
        <w:rPr>
          <w:rFonts w:asciiTheme="minorHAnsi" w:hAnsiTheme="minorHAnsi" w:cstheme="minorHAnsi"/>
          <w:color w:val="00B0F0"/>
          <w:szCs w:val="22"/>
        </w:rPr>
        <w:t>202</w:t>
      </w:r>
      <w:r w:rsidR="00826BFA" w:rsidRPr="00F20A8C">
        <w:rPr>
          <w:rFonts w:asciiTheme="minorHAnsi" w:hAnsiTheme="minorHAnsi" w:cstheme="minorHAnsi"/>
          <w:color w:val="00B0F0"/>
          <w:szCs w:val="22"/>
        </w:rPr>
        <w:t>6</w:t>
      </w:r>
      <w:r w:rsidRPr="00F20A8C">
        <w:rPr>
          <w:rFonts w:asciiTheme="minorHAnsi" w:hAnsiTheme="minorHAnsi" w:cstheme="minorHAnsi"/>
          <w:color w:val="00B0F0"/>
          <w:szCs w:val="22"/>
        </w:rPr>
        <w:t>.</w:t>
      </w:r>
      <w:r w:rsidR="00D7034A" w:rsidRPr="00F20A8C">
        <w:rPr>
          <w:rFonts w:asciiTheme="minorHAnsi" w:hAnsiTheme="minorHAnsi" w:cstheme="minorHAnsi"/>
          <w:color w:val="00B0F0"/>
          <w:szCs w:val="22"/>
        </w:rPr>
        <w:t xml:space="preserve"> Projektligji u publikua n</w:t>
      </w:r>
      <w:r w:rsidR="00066F78" w:rsidRPr="00F20A8C">
        <w:rPr>
          <w:rFonts w:asciiTheme="minorHAnsi" w:hAnsiTheme="minorHAnsi" w:cstheme="minorHAnsi"/>
          <w:color w:val="00B0F0"/>
          <w:szCs w:val="22"/>
        </w:rPr>
        <w:t>ë</w:t>
      </w:r>
      <w:r w:rsidR="00D7034A" w:rsidRPr="00F20A8C">
        <w:rPr>
          <w:rFonts w:asciiTheme="minorHAnsi" w:hAnsiTheme="minorHAnsi" w:cstheme="minorHAnsi"/>
          <w:color w:val="00B0F0"/>
          <w:szCs w:val="22"/>
        </w:rPr>
        <w:t xml:space="preserve"> faqen zyrtare t</w:t>
      </w:r>
      <w:r w:rsidR="00066F78" w:rsidRPr="00F20A8C">
        <w:rPr>
          <w:rFonts w:asciiTheme="minorHAnsi" w:hAnsiTheme="minorHAnsi" w:cstheme="minorHAnsi"/>
          <w:color w:val="00B0F0"/>
          <w:szCs w:val="22"/>
        </w:rPr>
        <w:t>ë</w:t>
      </w:r>
      <w:r w:rsidR="00D7034A" w:rsidRPr="00F20A8C">
        <w:rPr>
          <w:rFonts w:asciiTheme="minorHAnsi" w:hAnsiTheme="minorHAnsi" w:cstheme="minorHAnsi"/>
          <w:color w:val="00B0F0"/>
          <w:szCs w:val="22"/>
        </w:rPr>
        <w:t xml:space="preserve"> Bank</w:t>
      </w:r>
      <w:r w:rsidR="00066F78" w:rsidRPr="00F20A8C">
        <w:rPr>
          <w:rFonts w:asciiTheme="minorHAnsi" w:hAnsiTheme="minorHAnsi" w:cstheme="minorHAnsi"/>
          <w:color w:val="00B0F0"/>
          <w:szCs w:val="22"/>
        </w:rPr>
        <w:t>ë</w:t>
      </w:r>
      <w:r w:rsidR="00D7034A" w:rsidRPr="00F20A8C">
        <w:rPr>
          <w:rFonts w:asciiTheme="minorHAnsi" w:hAnsiTheme="minorHAnsi" w:cstheme="minorHAnsi"/>
          <w:color w:val="00B0F0"/>
          <w:szCs w:val="22"/>
        </w:rPr>
        <w:t>s s</w:t>
      </w:r>
      <w:r w:rsidR="00066F78" w:rsidRPr="00F20A8C">
        <w:rPr>
          <w:rFonts w:asciiTheme="minorHAnsi" w:hAnsiTheme="minorHAnsi" w:cstheme="minorHAnsi"/>
          <w:color w:val="00B0F0"/>
          <w:szCs w:val="22"/>
        </w:rPr>
        <w:t>ë</w:t>
      </w:r>
      <w:r w:rsidR="00D7034A" w:rsidRPr="00F20A8C">
        <w:rPr>
          <w:rFonts w:asciiTheme="minorHAnsi" w:hAnsiTheme="minorHAnsi" w:cstheme="minorHAnsi"/>
          <w:color w:val="00B0F0"/>
          <w:szCs w:val="22"/>
        </w:rPr>
        <w:t xml:space="preserve"> Shqip</w:t>
      </w:r>
      <w:r w:rsidR="00066F78" w:rsidRPr="00F20A8C">
        <w:rPr>
          <w:rFonts w:asciiTheme="minorHAnsi" w:hAnsiTheme="minorHAnsi" w:cstheme="minorHAnsi"/>
          <w:color w:val="00B0F0"/>
          <w:szCs w:val="22"/>
        </w:rPr>
        <w:t>ë</w:t>
      </w:r>
      <w:r w:rsidR="00D7034A" w:rsidRPr="00F20A8C">
        <w:rPr>
          <w:rFonts w:asciiTheme="minorHAnsi" w:hAnsiTheme="minorHAnsi" w:cstheme="minorHAnsi"/>
          <w:color w:val="00B0F0"/>
          <w:szCs w:val="22"/>
        </w:rPr>
        <w:t>ris</w:t>
      </w:r>
      <w:r w:rsidR="00066F78" w:rsidRPr="00F20A8C">
        <w:rPr>
          <w:rFonts w:asciiTheme="minorHAnsi" w:hAnsiTheme="minorHAnsi" w:cstheme="minorHAnsi"/>
          <w:color w:val="00B0F0"/>
          <w:szCs w:val="22"/>
        </w:rPr>
        <w:t>ë</w:t>
      </w:r>
      <w:r w:rsidR="00D7034A" w:rsidRPr="00F20A8C">
        <w:rPr>
          <w:rFonts w:asciiTheme="minorHAnsi" w:hAnsiTheme="minorHAnsi" w:cstheme="minorHAnsi"/>
          <w:color w:val="00B0F0"/>
          <w:szCs w:val="22"/>
        </w:rPr>
        <w:t>.</w:t>
      </w:r>
    </w:p>
    <w:p w14:paraId="232D722C" w14:textId="77777777" w:rsidR="00D7034A" w:rsidRPr="00F20A8C" w:rsidRDefault="00D7034A" w:rsidP="00F62CF1">
      <w:pPr>
        <w:ind w:left="360"/>
        <w:jc w:val="both"/>
        <w:rPr>
          <w:rFonts w:asciiTheme="minorHAnsi" w:hAnsiTheme="minorHAnsi" w:cstheme="minorHAnsi"/>
          <w:color w:val="00B0F0"/>
          <w:sz w:val="14"/>
          <w:szCs w:val="14"/>
        </w:rPr>
      </w:pPr>
    </w:p>
    <w:p w14:paraId="3E585073" w14:textId="007673DB" w:rsidR="00826BFA" w:rsidRPr="00F20A8C" w:rsidRDefault="00D7034A" w:rsidP="00F62CF1">
      <w:pPr>
        <w:ind w:left="360"/>
        <w:jc w:val="both"/>
        <w:rPr>
          <w:rFonts w:asciiTheme="minorHAnsi" w:hAnsiTheme="minorHAnsi" w:cstheme="minorHAnsi"/>
          <w:color w:val="00B0F0"/>
          <w:szCs w:val="22"/>
        </w:rPr>
      </w:pPr>
      <w:r w:rsidRPr="00F20A8C">
        <w:rPr>
          <w:rFonts w:asciiTheme="minorHAnsi" w:hAnsiTheme="minorHAnsi" w:cstheme="minorHAnsi"/>
          <w:color w:val="00B0F0"/>
          <w:szCs w:val="22"/>
        </w:rPr>
        <w:t>Gjithashtu, p</w:t>
      </w:r>
      <w:r w:rsidR="00106273" w:rsidRPr="00F20A8C">
        <w:rPr>
          <w:rFonts w:asciiTheme="minorHAnsi" w:hAnsiTheme="minorHAnsi" w:cstheme="minorHAnsi"/>
          <w:color w:val="00B0F0"/>
          <w:szCs w:val="22"/>
        </w:rPr>
        <w:t xml:space="preserve">rojektligji u publikua në </w:t>
      </w:r>
      <w:r w:rsidR="004B3EBB" w:rsidRPr="00F20A8C">
        <w:rPr>
          <w:rFonts w:asciiTheme="minorHAnsi" w:hAnsiTheme="minorHAnsi" w:cstheme="minorHAnsi"/>
          <w:color w:val="00B0F0"/>
          <w:szCs w:val="22"/>
        </w:rPr>
        <w:t xml:space="preserve">Regjistrin Elektronik për Njoftimet dhe Konsultimet Publike </w:t>
      </w:r>
      <w:r w:rsidR="00106273" w:rsidRPr="00F20A8C">
        <w:rPr>
          <w:rFonts w:asciiTheme="minorHAnsi" w:hAnsiTheme="minorHAnsi" w:cstheme="minorHAnsi"/>
          <w:color w:val="00B0F0"/>
          <w:szCs w:val="22"/>
        </w:rPr>
        <w:t>gjatë periudhës 0</w:t>
      </w:r>
      <w:r w:rsidR="004707DF" w:rsidRPr="00F20A8C">
        <w:rPr>
          <w:rFonts w:asciiTheme="minorHAnsi" w:hAnsiTheme="minorHAnsi" w:cstheme="minorHAnsi"/>
          <w:color w:val="00B0F0"/>
          <w:szCs w:val="22"/>
        </w:rPr>
        <w:t>4</w:t>
      </w:r>
      <w:r w:rsidR="00106273" w:rsidRPr="00F20A8C">
        <w:rPr>
          <w:rFonts w:asciiTheme="minorHAnsi" w:hAnsiTheme="minorHAnsi" w:cstheme="minorHAnsi"/>
          <w:color w:val="00B0F0"/>
          <w:szCs w:val="22"/>
        </w:rPr>
        <w:t>.0</w:t>
      </w:r>
      <w:r w:rsidR="004707DF" w:rsidRPr="00F20A8C">
        <w:rPr>
          <w:rFonts w:asciiTheme="minorHAnsi" w:hAnsiTheme="minorHAnsi" w:cstheme="minorHAnsi"/>
          <w:color w:val="00B0F0"/>
          <w:szCs w:val="22"/>
        </w:rPr>
        <w:t>5</w:t>
      </w:r>
      <w:r w:rsidR="00106273" w:rsidRPr="00F20A8C">
        <w:rPr>
          <w:rFonts w:asciiTheme="minorHAnsi" w:hAnsiTheme="minorHAnsi" w:cstheme="minorHAnsi"/>
          <w:color w:val="00B0F0"/>
          <w:szCs w:val="22"/>
        </w:rPr>
        <w:t>.2026</w:t>
      </w:r>
      <w:r w:rsidR="004707DF" w:rsidRPr="00F20A8C">
        <w:rPr>
          <w:rFonts w:asciiTheme="minorHAnsi" w:hAnsiTheme="minorHAnsi" w:cstheme="minorHAnsi"/>
          <w:color w:val="00B0F0"/>
          <w:szCs w:val="22"/>
        </w:rPr>
        <w:t xml:space="preserve"> </w:t>
      </w:r>
      <w:r w:rsidR="00106273" w:rsidRPr="00F20A8C">
        <w:rPr>
          <w:rFonts w:asciiTheme="minorHAnsi" w:hAnsiTheme="minorHAnsi" w:cstheme="minorHAnsi"/>
          <w:color w:val="00B0F0"/>
          <w:szCs w:val="22"/>
        </w:rPr>
        <w:t xml:space="preserve">- </w:t>
      </w:r>
      <w:r w:rsidR="004707DF" w:rsidRPr="00F20A8C">
        <w:rPr>
          <w:rFonts w:asciiTheme="minorHAnsi" w:hAnsiTheme="minorHAnsi" w:cstheme="minorHAnsi"/>
          <w:color w:val="00B0F0"/>
          <w:szCs w:val="22"/>
        </w:rPr>
        <w:t>01</w:t>
      </w:r>
      <w:r w:rsidR="00106273" w:rsidRPr="00F20A8C">
        <w:rPr>
          <w:rFonts w:asciiTheme="minorHAnsi" w:hAnsiTheme="minorHAnsi" w:cstheme="minorHAnsi"/>
          <w:color w:val="00B0F0"/>
          <w:szCs w:val="22"/>
        </w:rPr>
        <w:t>.0</w:t>
      </w:r>
      <w:r w:rsidR="004707DF" w:rsidRPr="00F20A8C">
        <w:rPr>
          <w:rFonts w:asciiTheme="minorHAnsi" w:hAnsiTheme="minorHAnsi" w:cstheme="minorHAnsi"/>
          <w:color w:val="00B0F0"/>
          <w:szCs w:val="22"/>
        </w:rPr>
        <w:t>6</w:t>
      </w:r>
      <w:r w:rsidR="00106273" w:rsidRPr="00F20A8C">
        <w:rPr>
          <w:rFonts w:asciiTheme="minorHAnsi" w:hAnsiTheme="minorHAnsi" w:cstheme="minorHAnsi"/>
          <w:color w:val="00B0F0"/>
          <w:szCs w:val="22"/>
        </w:rPr>
        <w:t xml:space="preserve">.2026, duke plotësuar afatin minimal prej 20 ditë pune që parashihet në ligj dhe ku në përfundim të kësaj periudhe </w:t>
      </w:r>
      <w:r w:rsidR="004707DF" w:rsidRPr="00F20A8C">
        <w:rPr>
          <w:rFonts w:asciiTheme="minorHAnsi" w:hAnsiTheme="minorHAnsi" w:cstheme="minorHAnsi"/>
          <w:color w:val="00B0F0"/>
          <w:szCs w:val="22"/>
        </w:rPr>
        <w:t>nuk pati</w:t>
      </w:r>
      <w:r w:rsidR="00106273" w:rsidRPr="00F20A8C">
        <w:rPr>
          <w:rFonts w:asciiTheme="minorHAnsi" w:hAnsiTheme="minorHAnsi" w:cstheme="minorHAnsi"/>
          <w:color w:val="00B0F0"/>
          <w:szCs w:val="22"/>
        </w:rPr>
        <w:t xml:space="preserve"> koment</w:t>
      </w:r>
      <w:r w:rsidR="004707DF" w:rsidRPr="00F20A8C">
        <w:rPr>
          <w:rFonts w:asciiTheme="minorHAnsi" w:hAnsiTheme="minorHAnsi" w:cstheme="minorHAnsi"/>
          <w:color w:val="00B0F0"/>
          <w:szCs w:val="22"/>
        </w:rPr>
        <w:t>e</w:t>
      </w:r>
      <w:r w:rsidR="00826BFA" w:rsidRPr="00F20A8C">
        <w:rPr>
          <w:rFonts w:asciiTheme="minorHAnsi" w:hAnsiTheme="minorHAnsi" w:cstheme="minorHAnsi"/>
          <w:color w:val="00B0F0"/>
          <w:szCs w:val="22"/>
        </w:rPr>
        <w:t xml:space="preserve"> nga konsultimi n</w:t>
      </w:r>
      <w:r w:rsidR="00F62CF1" w:rsidRPr="00F20A8C">
        <w:rPr>
          <w:rFonts w:asciiTheme="minorHAnsi" w:hAnsiTheme="minorHAnsi" w:cstheme="minorHAnsi"/>
          <w:color w:val="00B0F0"/>
          <w:szCs w:val="22"/>
        </w:rPr>
        <w:t>ë</w:t>
      </w:r>
      <w:r w:rsidR="00826BFA" w:rsidRPr="00F20A8C">
        <w:rPr>
          <w:rFonts w:asciiTheme="minorHAnsi" w:hAnsiTheme="minorHAnsi" w:cstheme="minorHAnsi"/>
          <w:color w:val="00B0F0"/>
          <w:szCs w:val="22"/>
        </w:rPr>
        <w:t xml:space="preserve"> platform</w:t>
      </w:r>
      <w:r w:rsidR="00F62CF1" w:rsidRPr="00F20A8C">
        <w:rPr>
          <w:rFonts w:asciiTheme="minorHAnsi" w:hAnsiTheme="minorHAnsi" w:cstheme="minorHAnsi"/>
          <w:color w:val="00B0F0"/>
          <w:szCs w:val="22"/>
        </w:rPr>
        <w:t>ë</w:t>
      </w:r>
      <w:r w:rsidR="00106273" w:rsidRPr="00F20A8C">
        <w:rPr>
          <w:rFonts w:asciiTheme="minorHAnsi" w:hAnsiTheme="minorHAnsi" w:cstheme="minorHAnsi"/>
          <w:color w:val="00B0F0"/>
          <w:szCs w:val="22"/>
        </w:rPr>
        <w:t>.</w:t>
      </w:r>
    </w:p>
    <w:p w14:paraId="6F4B5486" w14:textId="77777777" w:rsidR="00D7034A" w:rsidRPr="00F20A8C" w:rsidRDefault="00D7034A" w:rsidP="00106273">
      <w:pPr>
        <w:ind w:left="360"/>
        <w:jc w:val="both"/>
        <w:rPr>
          <w:rFonts w:asciiTheme="minorHAnsi" w:hAnsiTheme="minorHAnsi" w:cstheme="minorHAnsi"/>
          <w:color w:val="00B0F0"/>
          <w:szCs w:val="22"/>
        </w:rPr>
      </w:pPr>
    </w:p>
    <w:p w14:paraId="77CAE9D5" w14:textId="4D08CE2B" w:rsidR="00106273" w:rsidRPr="00F20A8C" w:rsidRDefault="00106273" w:rsidP="00106273">
      <w:pPr>
        <w:ind w:left="360"/>
        <w:jc w:val="both"/>
        <w:rPr>
          <w:rFonts w:asciiTheme="minorHAnsi" w:hAnsiTheme="minorHAnsi" w:cstheme="minorHAnsi"/>
          <w:color w:val="00B0F0"/>
          <w:szCs w:val="22"/>
        </w:rPr>
      </w:pPr>
      <w:r w:rsidRPr="00F20A8C">
        <w:rPr>
          <w:rFonts w:asciiTheme="minorHAnsi" w:hAnsiTheme="minorHAnsi" w:cstheme="minorHAnsi"/>
          <w:color w:val="00B0F0"/>
          <w:szCs w:val="22"/>
        </w:rPr>
        <w:t xml:space="preserve">Kohëzgjatja totale e </w:t>
      </w:r>
      <w:r w:rsidR="00D7034A" w:rsidRPr="00F20A8C">
        <w:rPr>
          <w:rFonts w:asciiTheme="minorHAnsi" w:hAnsiTheme="minorHAnsi" w:cstheme="minorHAnsi"/>
          <w:color w:val="00B0F0"/>
          <w:szCs w:val="22"/>
        </w:rPr>
        <w:t xml:space="preserve">konsultimit me subjektet dhe </w:t>
      </w:r>
      <w:r w:rsidRPr="00F20A8C">
        <w:rPr>
          <w:rFonts w:asciiTheme="minorHAnsi" w:hAnsiTheme="minorHAnsi" w:cstheme="minorHAnsi"/>
          <w:color w:val="00B0F0"/>
          <w:szCs w:val="22"/>
        </w:rPr>
        <w:t xml:space="preserve">konsultimit publik </w:t>
      </w:r>
      <w:r w:rsidR="00D7034A" w:rsidRPr="00F20A8C">
        <w:rPr>
          <w:rFonts w:asciiTheme="minorHAnsi" w:hAnsiTheme="minorHAnsi" w:cstheme="minorHAnsi"/>
          <w:color w:val="00B0F0"/>
          <w:szCs w:val="22"/>
        </w:rPr>
        <w:t xml:space="preserve">shtrihet </w:t>
      </w:r>
      <w:r w:rsidRPr="00F20A8C">
        <w:rPr>
          <w:rFonts w:asciiTheme="minorHAnsi" w:hAnsiTheme="minorHAnsi" w:cstheme="minorHAnsi"/>
          <w:color w:val="00B0F0"/>
          <w:szCs w:val="22"/>
        </w:rPr>
        <w:t>nga</w:t>
      </w:r>
      <w:r w:rsidR="00826BFA" w:rsidRPr="00F20A8C">
        <w:rPr>
          <w:rFonts w:asciiTheme="minorHAnsi" w:hAnsiTheme="minorHAnsi" w:cstheme="minorHAnsi"/>
          <w:color w:val="00B0F0"/>
          <w:szCs w:val="22"/>
        </w:rPr>
        <w:t xml:space="preserve"> 30 </w:t>
      </w:r>
      <w:r w:rsidR="00F62CF1" w:rsidRPr="00F20A8C">
        <w:rPr>
          <w:rFonts w:asciiTheme="minorHAnsi" w:hAnsiTheme="minorHAnsi" w:cstheme="minorHAnsi"/>
          <w:color w:val="00B0F0"/>
          <w:szCs w:val="22"/>
        </w:rPr>
        <w:t>M</w:t>
      </w:r>
      <w:r w:rsidR="00826BFA" w:rsidRPr="00F20A8C">
        <w:rPr>
          <w:rFonts w:asciiTheme="minorHAnsi" w:hAnsiTheme="minorHAnsi" w:cstheme="minorHAnsi"/>
          <w:color w:val="00B0F0"/>
          <w:szCs w:val="22"/>
        </w:rPr>
        <w:t>ars</w:t>
      </w:r>
      <w:r w:rsidR="00F62CF1" w:rsidRPr="00F20A8C">
        <w:rPr>
          <w:rFonts w:asciiTheme="minorHAnsi" w:hAnsiTheme="minorHAnsi" w:cstheme="minorHAnsi"/>
          <w:color w:val="00B0F0"/>
          <w:szCs w:val="22"/>
        </w:rPr>
        <w:t xml:space="preserve"> 2026</w:t>
      </w:r>
      <w:r w:rsidR="00826BFA" w:rsidRPr="00F20A8C">
        <w:rPr>
          <w:rFonts w:asciiTheme="minorHAnsi" w:hAnsiTheme="minorHAnsi" w:cstheme="minorHAnsi"/>
          <w:color w:val="00B0F0"/>
          <w:szCs w:val="22"/>
        </w:rPr>
        <w:t xml:space="preserve"> – 1 </w:t>
      </w:r>
      <w:r w:rsidR="00F62CF1" w:rsidRPr="00F20A8C">
        <w:rPr>
          <w:rFonts w:asciiTheme="minorHAnsi" w:hAnsiTheme="minorHAnsi" w:cstheme="minorHAnsi"/>
          <w:color w:val="00B0F0"/>
          <w:szCs w:val="22"/>
        </w:rPr>
        <w:t>Q</w:t>
      </w:r>
      <w:r w:rsidR="00826BFA" w:rsidRPr="00F20A8C">
        <w:rPr>
          <w:rFonts w:asciiTheme="minorHAnsi" w:hAnsiTheme="minorHAnsi" w:cstheme="minorHAnsi"/>
          <w:color w:val="00B0F0"/>
          <w:szCs w:val="22"/>
        </w:rPr>
        <w:t>e</w:t>
      </w:r>
      <w:r w:rsidR="00D7034A" w:rsidRPr="00F20A8C">
        <w:rPr>
          <w:rFonts w:asciiTheme="minorHAnsi" w:hAnsiTheme="minorHAnsi" w:cstheme="minorHAnsi"/>
          <w:color w:val="00B0F0"/>
          <w:szCs w:val="22"/>
        </w:rPr>
        <w:t>r</w:t>
      </w:r>
      <w:r w:rsidR="00826BFA" w:rsidRPr="00F20A8C">
        <w:rPr>
          <w:rFonts w:asciiTheme="minorHAnsi" w:hAnsiTheme="minorHAnsi" w:cstheme="minorHAnsi"/>
          <w:color w:val="00B0F0"/>
          <w:szCs w:val="22"/>
        </w:rPr>
        <w:t>shor</w:t>
      </w:r>
      <w:r w:rsidR="00F62CF1" w:rsidRPr="00F20A8C">
        <w:rPr>
          <w:rFonts w:asciiTheme="minorHAnsi" w:hAnsiTheme="minorHAnsi" w:cstheme="minorHAnsi"/>
          <w:color w:val="00B0F0"/>
          <w:szCs w:val="22"/>
        </w:rPr>
        <w:t xml:space="preserve"> 2026.</w:t>
      </w:r>
    </w:p>
    <w:p w14:paraId="0DAC9201" w14:textId="77777777" w:rsidR="005B6D2B" w:rsidRPr="00F20A8C" w:rsidRDefault="005B6D2B" w:rsidP="005B6D2B">
      <w:pPr>
        <w:ind w:left="360"/>
        <w:jc w:val="both"/>
        <w:rPr>
          <w:rFonts w:asciiTheme="minorHAnsi" w:hAnsiTheme="minorHAnsi" w:cstheme="minorHAnsi"/>
          <w:i/>
          <w:iCs/>
          <w:sz w:val="12"/>
          <w:szCs w:val="14"/>
        </w:rPr>
      </w:pPr>
    </w:p>
    <w:p w14:paraId="3069F8AC" w14:textId="77777777" w:rsidR="007755F2" w:rsidRPr="00F20A8C" w:rsidRDefault="007755F2" w:rsidP="005B6D2B">
      <w:pPr>
        <w:ind w:left="360"/>
        <w:jc w:val="both"/>
        <w:rPr>
          <w:rFonts w:asciiTheme="minorHAnsi" w:hAnsiTheme="minorHAnsi" w:cstheme="minorHAnsi"/>
          <w:i/>
          <w:iCs/>
          <w:sz w:val="16"/>
          <w:szCs w:val="18"/>
        </w:rPr>
      </w:pPr>
    </w:p>
    <w:p w14:paraId="6C759CD3" w14:textId="77777777" w:rsidR="005B6D2B" w:rsidRPr="00F20A8C" w:rsidRDefault="005B6D2B" w:rsidP="005B6D2B">
      <w:pPr>
        <w:pStyle w:val="ListParagraph"/>
        <w:numPr>
          <w:ilvl w:val="0"/>
          <w:numId w:val="1"/>
        </w:numPr>
        <w:jc w:val="both"/>
        <w:rPr>
          <w:rFonts w:asciiTheme="minorHAnsi" w:hAnsiTheme="minorHAnsi" w:cstheme="minorHAnsi"/>
          <w:szCs w:val="24"/>
        </w:rPr>
      </w:pPr>
      <w:r w:rsidRPr="00F20A8C">
        <w:rPr>
          <w:rFonts w:asciiTheme="minorHAnsi" w:hAnsiTheme="minorHAnsi" w:cstheme="minorHAnsi"/>
          <w:b/>
          <w:bCs/>
          <w:szCs w:val="24"/>
        </w:rPr>
        <w:t>Metoda e konsultimit</w:t>
      </w:r>
    </w:p>
    <w:p w14:paraId="770E2949" w14:textId="77777777" w:rsidR="005B6D2B" w:rsidRPr="00F20A8C" w:rsidRDefault="005B6D2B" w:rsidP="005B6D2B">
      <w:pPr>
        <w:ind w:left="360"/>
        <w:jc w:val="both"/>
        <w:rPr>
          <w:rFonts w:asciiTheme="minorHAnsi" w:hAnsiTheme="minorHAnsi" w:cstheme="minorHAnsi"/>
          <w:i/>
          <w:iCs/>
          <w:szCs w:val="24"/>
        </w:rPr>
      </w:pPr>
      <w:r w:rsidRPr="00F20A8C">
        <w:rPr>
          <w:rFonts w:asciiTheme="minorHAnsi" w:hAnsiTheme="minorHAnsi" w:cstheme="minorHAnsi"/>
          <w:i/>
          <w:iCs/>
          <w:szCs w:val="24"/>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r w:rsidR="00332DB4" w:rsidRPr="00F20A8C">
        <w:rPr>
          <w:rFonts w:asciiTheme="minorHAnsi" w:hAnsiTheme="minorHAnsi" w:cstheme="minorHAnsi"/>
          <w:i/>
          <w:iCs/>
          <w:szCs w:val="24"/>
        </w:rPr>
        <w:t xml:space="preserve"> </w:t>
      </w:r>
      <w:r w:rsidRPr="00F20A8C">
        <w:rPr>
          <w:rFonts w:asciiTheme="minorHAnsi" w:hAnsiTheme="minorHAnsi" w:cstheme="minorHAnsi"/>
          <w:i/>
          <w:iCs/>
          <w:szCs w:val="24"/>
        </w:rPr>
        <w:t>Shpjegoni se si u shpërnda informacioni mbi konsultimet e hapura, si u ftuan palët e interesuara të kontribuojnë.</w:t>
      </w:r>
      <w:r w:rsidR="00332DB4" w:rsidRPr="00F20A8C">
        <w:rPr>
          <w:rFonts w:asciiTheme="minorHAnsi" w:hAnsiTheme="minorHAnsi" w:cstheme="minorHAnsi"/>
          <w:i/>
          <w:iCs/>
          <w:szCs w:val="24"/>
        </w:rPr>
        <w:t xml:space="preserve"> </w:t>
      </w:r>
      <w:r w:rsidRPr="00F20A8C">
        <w:rPr>
          <w:rFonts w:asciiTheme="minorHAnsi" w:hAnsiTheme="minorHAnsi" w:cstheme="minorHAnsi"/>
          <w:i/>
          <w:iCs/>
          <w:szCs w:val="24"/>
        </w:rPr>
        <w:t>Përfshini gjithashtu aktivitete nga konsultimet paraprake nëse janë organizuar të tilla).</w:t>
      </w:r>
    </w:p>
    <w:p w14:paraId="7552BF3E" w14:textId="77777777" w:rsidR="00741C60" w:rsidRPr="00F20A8C" w:rsidRDefault="00741C60" w:rsidP="005B6D2B">
      <w:pPr>
        <w:ind w:left="360"/>
        <w:jc w:val="both"/>
        <w:rPr>
          <w:rFonts w:asciiTheme="minorHAnsi" w:hAnsiTheme="minorHAnsi" w:cstheme="minorHAnsi"/>
          <w:i/>
          <w:iCs/>
          <w:szCs w:val="24"/>
        </w:rPr>
      </w:pPr>
    </w:p>
    <w:p w14:paraId="39BB5BC7" w14:textId="3FA16747" w:rsidR="00A126DA" w:rsidRPr="00F20A8C" w:rsidRDefault="00A126DA" w:rsidP="00A126DA">
      <w:pPr>
        <w:ind w:left="360"/>
        <w:jc w:val="both"/>
        <w:rPr>
          <w:rFonts w:asciiTheme="minorHAnsi" w:hAnsiTheme="minorHAnsi" w:cstheme="minorHAnsi"/>
          <w:color w:val="00B0F0"/>
          <w:szCs w:val="22"/>
        </w:rPr>
      </w:pPr>
      <w:r w:rsidRPr="00F20A8C">
        <w:rPr>
          <w:rFonts w:asciiTheme="minorHAnsi" w:hAnsiTheme="minorHAnsi" w:cstheme="minorHAnsi"/>
          <w:color w:val="00B0F0"/>
          <w:szCs w:val="22"/>
        </w:rPr>
        <w:t>Banka e Shqipërisë publikoi në faqen e internetit të saj në fund të muajit mars 2026 dhe pati një komunikim shkresor me subjektet e ligjit (bankat</w:t>
      </w:r>
      <w:r w:rsidR="00066F78" w:rsidRPr="00F20A8C">
        <w:rPr>
          <w:rFonts w:asciiTheme="minorHAnsi" w:hAnsiTheme="minorHAnsi" w:cstheme="minorHAnsi"/>
          <w:color w:val="00B0F0"/>
          <w:szCs w:val="22"/>
        </w:rPr>
        <w:t xml:space="preserve">, </w:t>
      </w:r>
      <w:r w:rsidRPr="00F20A8C">
        <w:rPr>
          <w:rFonts w:asciiTheme="minorHAnsi" w:hAnsiTheme="minorHAnsi" w:cstheme="minorHAnsi"/>
          <w:color w:val="00B0F0"/>
          <w:szCs w:val="22"/>
        </w:rPr>
        <w:t>institucionet e pagesave dhe institucionet e parasë elektronike) për konsultim</w:t>
      </w:r>
      <w:r w:rsidR="00066F78" w:rsidRPr="00F20A8C">
        <w:rPr>
          <w:rFonts w:asciiTheme="minorHAnsi" w:hAnsiTheme="minorHAnsi" w:cstheme="minorHAnsi"/>
          <w:color w:val="00B0F0"/>
          <w:szCs w:val="22"/>
        </w:rPr>
        <w:t xml:space="preserve">in e </w:t>
      </w:r>
      <w:r w:rsidRPr="00F20A8C">
        <w:rPr>
          <w:rFonts w:asciiTheme="minorHAnsi" w:hAnsiTheme="minorHAnsi" w:cstheme="minorHAnsi"/>
          <w:color w:val="00B0F0"/>
          <w:szCs w:val="22"/>
        </w:rPr>
        <w:t xml:space="preserve">projektligjit. Një pjesë e subjekteve dërguan komentet gjatë muajit prill 2026. Komentet u analizuan dhe </w:t>
      </w:r>
      <w:r w:rsidR="00066F78" w:rsidRPr="00F20A8C">
        <w:rPr>
          <w:rFonts w:asciiTheme="minorHAnsi" w:hAnsiTheme="minorHAnsi" w:cstheme="minorHAnsi"/>
          <w:color w:val="00B0F0"/>
          <w:szCs w:val="22"/>
        </w:rPr>
        <w:t>janë</w:t>
      </w:r>
      <w:r w:rsidRPr="00F20A8C">
        <w:rPr>
          <w:rFonts w:asciiTheme="minorHAnsi" w:hAnsiTheme="minorHAnsi" w:cstheme="minorHAnsi"/>
          <w:color w:val="00B0F0"/>
          <w:szCs w:val="22"/>
        </w:rPr>
        <w:t xml:space="preserve"> përgatit</w:t>
      </w:r>
      <w:r w:rsidR="00066F78" w:rsidRPr="00F20A8C">
        <w:rPr>
          <w:rFonts w:asciiTheme="minorHAnsi" w:hAnsiTheme="minorHAnsi" w:cstheme="minorHAnsi"/>
          <w:color w:val="00B0F0"/>
          <w:szCs w:val="22"/>
        </w:rPr>
        <w:t>ur</w:t>
      </w:r>
      <w:r w:rsidRPr="00F20A8C">
        <w:rPr>
          <w:rFonts w:asciiTheme="minorHAnsi" w:hAnsiTheme="minorHAnsi" w:cstheme="minorHAnsi"/>
          <w:color w:val="00B0F0"/>
          <w:szCs w:val="22"/>
        </w:rPr>
        <w:t xml:space="preserve"> dhe</w:t>
      </w:r>
      <w:r w:rsidR="00066F78" w:rsidRPr="00F20A8C">
        <w:rPr>
          <w:rFonts w:asciiTheme="minorHAnsi" w:hAnsiTheme="minorHAnsi" w:cstheme="minorHAnsi"/>
          <w:color w:val="00B0F0"/>
          <w:szCs w:val="22"/>
        </w:rPr>
        <w:t xml:space="preserve"> përgjigjet përkatëse, të shoqëruara me</w:t>
      </w:r>
      <w:r w:rsidRPr="00F20A8C">
        <w:rPr>
          <w:rFonts w:asciiTheme="minorHAnsi" w:hAnsiTheme="minorHAnsi" w:cstheme="minorHAnsi"/>
          <w:color w:val="00B0F0"/>
          <w:szCs w:val="22"/>
        </w:rPr>
        <w:t xml:space="preserve"> arsyetimi</w:t>
      </w:r>
      <w:r w:rsidR="00066F78" w:rsidRPr="00F20A8C">
        <w:rPr>
          <w:rFonts w:asciiTheme="minorHAnsi" w:hAnsiTheme="minorHAnsi" w:cstheme="minorHAnsi"/>
          <w:color w:val="00B0F0"/>
          <w:szCs w:val="22"/>
        </w:rPr>
        <w:t>n</w:t>
      </w:r>
      <w:r w:rsidRPr="00F20A8C">
        <w:rPr>
          <w:rFonts w:asciiTheme="minorHAnsi" w:hAnsiTheme="minorHAnsi" w:cstheme="minorHAnsi"/>
          <w:color w:val="00B0F0"/>
          <w:szCs w:val="22"/>
        </w:rPr>
        <w:t xml:space="preserve"> për pranimin ose jo të secilit sugjerim nga komentet e subjekteve.</w:t>
      </w:r>
    </w:p>
    <w:p w14:paraId="63BCBD14" w14:textId="77777777" w:rsidR="00A126DA" w:rsidRPr="00F20A8C" w:rsidRDefault="00A126DA" w:rsidP="00A126DA">
      <w:pPr>
        <w:ind w:left="360"/>
        <w:jc w:val="both"/>
        <w:rPr>
          <w:rFonts w:asciiTheme="minorHAnsi" w:hAnsiTheme="minorHAnsi" w:cstheme="minorHAnsi"/>
          <w:color w:val="00B0F0"/>
          <w:szCs w:val="22"/>
        </w:rPr>
      </w:pPr>
    </w:p>
    <w:p w14:paraId="45C5A805" w14:textId="7CA41859" w:rsidR="00AD0297" w:rsidRPr="00F20A8C" w:rsidRDefault="00AD0297" w:rsidP="00AD0297">
      <w:pPr>
        <w:ind w:left="360"/>
        <w:jc w:val="both"/>
        <w:rPr>
          <w:rFonts w:asciiTheme="minorHAnsi" w:hAnsiTheme="minorHAnsi" w:cstheme="minorHAnsi"/>
          <w:color w:val="00B0F0"/>
          <w:szCs w:val="22"/>
          <w:highlight w:val="lightGray"/>
        </w:rPr>
      </w:pPr>
      <w:r w:rsidRPr="00F20A8C">
        <w:rPr>
          <w:rFonts w:asciiTheme="minorHAnsi" w:hAnsiTheme="minorHAnsi" w:cstheme="minorHAnsi"/>
          <w:color w:val="00B0F0"/>
          <w:szCs w:val="22"/>
        </w:rPr>
        <w:t>Projektligji</w:t>
      </w:r>
      <w:r w:rsidR="0051233D" w:rsidRPr="00F20A8C">
        <w:rPr>
          <w:rFonts w:asciiTheme="minorHAnsi" w:hAnsiTheme="minorHAnsi" w:cstheme="minorHAnsi"/>
          <w:color w:val="00B0F0"/>
          <w:szCs w:val="22"/>
        </w:rPr>
        <w:t xml:space="preserve"> gjithashtu</w:t>
      </w:r>
      <w:r w:rsidRPr="00F20A8C">
        <w:rPr>
          <w:rFonts w:asciiTheme="minorHAnsi" w:hAnsiTheme="minorHAnsi" w:cstheme="minorHAnsi"/>
          <w:color w:val="00B0F0"/>
          <w:szCs w:val="22"/>
        </w:rPr>
        <w:t xml:space="preserve"> është publikuar në Regjistrin Elektronik </w:t>
      </w:r>
      <w:r w:rsidR="004B3EBB" w:rsidRPr="00F20A8C">
        <w:rPr>
          <w:rFonts w:asciiTheme="minorHAnsi" w:hAnsiTheme="minorHAnsi" w:cstheme="minorHAnsi"/>
          <w:color w:val="00B0F0"/>
          <w:szCs w:val="22"/>
        </w:rPr>
        <w:t>p</w:t>
      </w:r>
      <w:r w:rsidRPr="00F20A8C">
        <w:rPr>
          <w:rFonts w:asciiTheme="minorHAnsi" w:hAnsiTheme="minorHAnsi" w:cstheme="minorHAnsi"/>
          <w:color w:val="00B0F0"/>
          <w:szCs w:val="22"/>
        </w:rPr>
        <w:t>ë</w:t>
      </w:r>
      <w:r w:rsidR="004B3EBB" w:rsidRPr="00F20A8C">
        <w:rPr>
          <w:rFonts w:asciiTheme="minorHAnsi" w:hAnsiTheme="minorHAnsi" w:cstheme="minorHAnsi"/>
          <w:color w:val="00B0F0"/>
          <w:szCs w:val="22"/>
        </w:rPr>
        <w:t>r</w:t>
      </w:r>
      <w:r w:rsidRPr="00F20A8C">
        <w:rPr>
          <w:rFonts w:asciiTheme="minorHAnsi" w:hAnsiTheme="minorHAnsi" w:cstheme="minorHAnsi"/>
          <w:color w:val="00B0F0"/>
          <w:szCs w:val="22"/>
        </w:rPr>
        <w:t xml:space="preserve"> Njoftime</w:t>
      </w:r>
      <w:r w:rsidR="004B3EBB" w:rsidRPr="00F20A8C">
        <w:rPr>
          <w:rFonts w:asciiTheme="minorHAnsi" w:hAnsiTheme="minorHAnsi" w:cstheme="minorHAnsi"/>
          <w:color w:val="00B0F0"/>
          <w:szCs w:val="22"/>
        </w:rPr>
        <w:t>t dhe</w:t>
      </w:r>
      <w:r w:rsidRPr="00F20A8C">
        <w:rPr>
          <w:rFonts w:asciiTheme="minorHAnsi" w:hAnsiTheme="minorHAnsi" w:cstheme="minorHAnsi"/>
          <w:color w:val="00B0F0"/>
          <w:szCs w:val="22"/>
        </w:rPr>
        <w:t xml:space="preserve"> Konsultim</w:t>
      </w:r>
      <w:r w:rsidR="004B3EBB" w:rsidRPr="00F20A8C">
        <w:rPr>
          <w:rFonts w:asciiTheme="minorHAnsi" w:hAnsiTheme="minorHAnsi" w:cstheme="minorHAnsi"/>
          <w:color w:val="00B0F0"/>
          <w:szCs w:val="22"/>
        </w:rPr>
        <w:t>et</w:t>
      </w:r>
      <w:r w:rsidRPr="00F20A8C">
        <w:rPr>
          <w:rFonts w:asciiTheme="minorHAnsi" w:hAnsiTheme="minorHAnsi" w:cstheme="minorHAnsi"/>
          <w:color w:val="00B0F0"/>
          <w:szCs w:val="22"/>
        </w:rPr>
        <w:t xml:space="preserve"> Publik</w:t>
      </w:r>
      <w:r w:rsidR="004B3EBB" w:rsidRPr="00F20A8C">
        <w:rPr>
          <w:rFonts w:asciiTheme="minorHAnsi" w:hAnsiTheme="minorHAnsi" w:cstheme="minorHAnsi"/>
          <w:color w:val="00B0F0"/>
          <w:szCs w:val="22"/>
        </w:rPr>
        <w:t>e</w:t>
      </w:r>
      <w:r w:rsidRPr="00F20A8C">
        <w:rPr>
          <w:rFonts w:asciiTheme="minorHAnsi" w:hAnsiTheme="minorHAnsi" w:cstheme="minorHAnsi"/>
          <w:color w:val="00B0F0"/>
          <w:szCs w:val="22"/>
        </w:rPr>
        <w:t xml:space="preserve"> në datë 04.05.2026 - 01.06.2026.</w:t>
      </w:r>
      <w:r w:rsidR="00066F78" w:rsidRPr="00F20A8C">
        <w:rPr>
          <w:rFonts w:asciiTheme="minorHAnsi" w:hAnsiTheme="minorHAnsi" w:cstheme="minorHAnsi"/>
          <w:color w:val="00B0F0"/>
          <w:szCs w:val="22"/>
        </w:rPr>
        <w:t xml:space="preserve"> Gjatë periudhës së konsultimit publik, projektligji regjistroi </w:t>
      </w:r>
      <w:r w:rsidR="009B5500" w:rsidRPr="00F20A8C">
        <w:rPr>
          <w:rFonts w:asciiTheme="minorHAnsi" w:hAnsiTheme="minorHAnsi" w:cstheme="minorHAnsi"/>
          <w:color w:val="00B0F0"/>
          <w:szCs w:val="22"/>
        </w:rPr>
        <w:t>280</w:t>
      </w:r>
      <w:r w:rsidR="00066F78" w:rsidRPr="00F20A8C">
        <w:rPr>
          <w:rFonts w:asciiTheme="minorHAnsi" w:hAnsiTheme="minorHAnsi" w:cstheme="minorHAnsi"/>
          <w:color w:val="00B0F0"/>
          <w:szCs w:val="22"/>
        </w:rPr>
        <w:t xml:space="preserve"> shikime në Regjistrin Elektronik.</w:t>
      </w:r>
    </w:p>
    <w:p w14:paraId="47584704" w14:textId="77777777" w:rsidR="00A126DA" w:rsidRPr="00F20A8C" w:rsidRDefault="00A126DA" w:rsidP="00106273">
      <w:pPr>
        <w:ind w:left="360"/>
        <w:jc w:val="both"/>
        <w:rPr>
          <w:rFonts w:asciiTheme="minorHAnsi" w:hAnsiTheme="minorHAnsi" w:cstheme="minorHAnsi"/>
          <w:i/>
          <w:iCs/>
          <w:szCs w:val="24"/>
        </w:rPr>
      </w:pPr>
    </w:p>
    <w:p w14:paraId="027F92C1" w14:textId="77777777" w:rsidR="00332DB4" w:rsidRPr="00F20A8C" w:rsidRDefault="00332DB4" w:rsidP="005B6D2B">
      <w:pPr>
        <w:ind w:left="360"/>
        <w:jc w:val="both"/>
        <w:rPr>
          <w:rFonts w:asciiTheme="minorHAnsi" w:hAnsiTheme="minorHAnsi" w:cstheme="minorHAnsi"/>
          <w:sz w:val="14"/>
          <w:szCs w:val="16"/>
        </w:rPr>
      </w:pPr>
    </w:p>
    <w:p w14:paraId="732DB8DF" w14:textId="77777777" w:rsidR="005B6D2B" w:rsidRPr="00F20A8C" w:rsidRDefault="005B6D2B" w:rsidP="005B6D2B">
      <w:pPr>
        <w:pStyle w:val="ListParagraph"/>
        <w:numPr>
          <w:ilvl w:val="0"/>
          <w:numId w:val="1"/>
        </w:numPr>
        <w:jc w:val="both"/>
        <w:rPr>
          <w:rFonts w:asciiTheme="minorHAnsi" w:hAnsiTheme="minorHAnsi" w:cstheme="minorHAnsi"/>
          <w:b/>
          <w:bCs/>
          <w:szCs w:val="24"/>
        </w:rPr>
      </w:pPr>
      <w:r w:rsidRPr="00F20A8C">
        <w:rPr>
          <w:rFonts w:asciiTheme="minorHAnsi" w:hAnsiTheme="minorHAnsi" w:cstheme="minorHAnsi"/>
          <w:b/>
          <w:bCs/>
          <w:szCs w:val="24"/>
        </w:rPr>
        <w:t>Palët e interesit të përfshira</w:t>
      </w:r>
    </w:p>
    <w:p w14:paraId="51470301" w14:textId="626F7349" w:rsidR="001E2389" w:rsidRPr="00F20A8C" w:rsidRDefault="005B6D2B" w:rsidP="0051233D">
      <w:pPr>
        <w:ind w:left="360"/>
        <w:jc w:val="both"/>
        <w:rPr>
          <w:rFonts w:asciiTheme="minorHAnsi" w:hAnsiTheme="minorHAnsi" w:cstheme="minorHAnsi"/>
          <w:i/>
          <w:szCs w:val="24"/>
        </w:rPr>
      </w:pPr>
      <w:r w:rsidRPr="00F20A8C">
        <w:rPr>
          <w:rFonts w:asciiTheme="minorHAnsi" w:hAnsiTheme="minorHAnsi" w:cstheme="minorHAnsi"/>
          <w:i/>
          <w:szCs w:val="24"/>
        </w:rPr>
        <w:t>Listoni të gjithë palët e interesuara, qoftë organizata apo individë, të cilët kanë dhënë komente/kontribut në konsultimet publike përmes metodave të ndryshme të konsultimit, gjatë gjithë procesit të hartimit.</w:t>
      </w:r>
    </w:p>
    <w:p w14:paraId="5A2BBC32" w14:textId="77777777" w:rsidR="0051233D" w:rsidRPr="00F20A8C" w:rsidRDefault="0051233D" w:rsidP="0051233D">
      <w:pPr>
        <w:ind w:left="360"/>
        <w:jc w:val="both"/>
        <w:rPr>
          <w:rFonts w:asciiTheme="minorHAnsi" w:hAnsiTheme="minorHAnsi" w:cstheme="minorHAnsi"/>
          <w:i/>
          <w:sz w:val="24"/>
          <w:szCs w:val="28"/>
        </w:rPr>
      </w:pPr>
    </w:p>
    <w:p w14:paraId="52211A98" w14:textId="4B618F0F" w:rsidR="00E76E21" w:rsidRPr="00F20A8C" w:rsidRDefault="00FE3D94" w:rsidP="00840490">
      <w:pPr>
        <w:pStyle w:val="ListParagraph"/>
        <w:numPr>
          <w:ilvl w:val="0"/>
          <w:numId w:val="8"/>
        </w:numPr>
        <w:ind w:left="360" w:hanging="360"/>
        <w:jc w:val="both"/>
        <w:rPr>
          <w:rFonts w:asciiTheme="minorHAnsi" w:hAnsiTheme="minorHAnsi" w:cstheme="minorHAnsi"/>
          <w:color w:val="00B0F0"/>
          <w:szCs w:val="22"/>
        </w:rPr>
      </w:pPr>
      <w:r w:rsidRPr="00F20A8C">
        <w:rPr>
          <w:rFonts w:asciiTheme="minorHAnsi" w:hAnsiTheme="minorHAnsi" w:cstheme="minorHAnsi"/>
          <w:color w:val="00B0F0"/>
          <w:szCs w:val="22"/>
        </w:rPr>
        <w:t>Si pjesë e konsultimit paraprak me subjektet, u komunikua në mënyrë shkresore me 11 banka, Shoqatën Shqiptare të Bankave, 4 institucione të pagesave, si dhe me 10 institucione të parasë elektronike</w:t>
      </w:r>
      <w:r w:rsidR="00E76E21" w:rsidRPr="00F20A8C">
        <w:rPr>
          <w:rFonts w:asciiTheme="minorHAnsi" w:hAnsiTheme="minorHAnsi" w:cstheme="minorHAnsi"/>
          <w:color w:val="00B0F0"/>
          <w:szCs w:val="22"/>
        </w:rPr>
        <w:t>, përkatësisht si vijon:</w:t>
      </w:r>
      <w:r w:rsidRPr="00F20A8C">
        <w:rPr>
          <w:rFonts w:asciiTheme="minorHAnsi" w:hAnsiTheme="minorHAnsi" w:cstheme="minorHAnsi"/>
          <w:color w:val="00B0F0"/>
          <w:szCs w:val="22"/>
        </w:rPr>
        <w:t xml:space="preserve"> </w:t>
      </w:r>
    </w:p>
    <w:p w14:paraId="7B95BAE1" w14:textId="0ECB83AB"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lastRenderedPageBreak/>
        <w:t xml:space="preserve">Banka Amerikane e Investimeve </w:t>
      </w:r>
    </w:p>
    <w:p w14:paraId="43EC6C05" w14:textId="3086ED38"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 xml:space="preserve">Banka Credins </w:t>
      </w:r>
    </w:p>
    <w:p w14:paraId="69DB6C2C" w14:textId="5B23166B"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 xml:space="preserve">Banka e Bashkuar e Shqipërisë </w:t>
      </w:r>
    </w:p>
    <w:p w14:paraId="086FF681" w14:textId="1EE26D72"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 xml:space="preserve">Banka e Parë e Investimeve Albania </w:t>
      </w:r>
    </w:p>
    <w:p w14:paraId="0822986A" w14:textId="5F942F96"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 xml:space="preserve">Banka Intesa Sanpaolo Albania </w:t>
      </w:r>
    </w:p>
    <w:p w14:paraId="05878B94" w14:textId="0CF17763"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Kombëtare Tregtar</w:t>
      </w:r>
      <w:r w:rsidR="007F7501" w:rsidRPr="00F20A8C">
        <w:rPr>
          <w:rFonts w:asciiTheme="minorHAnsi" w:hAnsiTheme="minorHAnsi" w:cstheme="minorHAnsi"/>
          <w:color w:val="00B0F0"/>
          <w:szCs w:val="22"/>
        </w:rPr>
        <w:t>e</w:t>
      </w:r>
      <w:r w:rsidRPr="00F20A8C">
        <w:rPr>
          <w:rFonts w:asciiTheme="minorHAnsi" w:hAnsiTheme="minorHAnsi" w:cstheme="minorHAnsi"/>
          <w:color w:val="00B0F0"/>
          <w:szCs w:val="22"/>
        </w:rPr>
        <w:t xml:space="preserve"> </w:t>
      </w:r>
    </w:p>
    <w:p w14:paraId="4458037E" w14:textId="39CEC9E7"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OTP Albania</w:t>
      </w:r>
    </w:p>
    <w:p w14:paraId="41553DA7" w14:textId="4D247C62"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ProCredit</w:t>
      </w:r>
    </w:p>
    <w:p w14:paraId="56AF6167" w14:textId="153779AA"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Raiffeisen</w:t>
      </w:r>
    </w:p>
    <w:p w14:paraId="12D948C0" w14:textId="0BC490CC"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Tirana</w:t>
      </w:r>
    </w:p>
    <w:p w14:paraId="13929511" w14:textId="0EF3A9BF"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Union</w:t>
      </w:r>
    </w:p>
    <w:p w14:paraId="3093E4F8" w14:textId="70D11BEA"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Shoqata Shqiptare e Bankave</w:t>
      </w:r>
    </w:p>
    <w:p w14:paraId="700E8870" w14:textId="77777777"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AK Invest sh.a</w:t>
      </w:r>
    </w:p>
    <w:p w14:paraId="0A4A3299" w14:textId="77777777"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MPay sh.p.k</w:t>
      </w:r>
    </w:p>
    <w:p w14:paraId="6AF20608" w14:textId="6FD91126"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RAEA Financial Services sh.p.k</w:t>
      </w:r>
    </w:p>
    <w:p w14:paraId="754B4EFE" w14:textId="3C9AF282"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SHKK Fed Invest</w:t>
      </w:r>
    </w:p>
    <w:p w14:paraId="4B7ED82F" w14:textId="0236A168"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 xml:space="preserve">Unioni Financiar </w:t>
      </w:r>
      <w:r w:rsidR="001E2389" w:rsidRPr="00F20A8C">
        <w:rPr>
          <w:rFonts w:asciiTheme="minorHAnsi" w:hAnsiTheme="minorHAnsi" w:cstheme="minorHAnsi"/>
          <w:color w:val="00B0F0"/>
          <w:szCs w:val="22"/>
        </w:rPr>
        <w:t>Tiranë</w:t>
      </w:r>
      <w:r w:rsidRPr="00F20A8C">
        <w:rPr>
          <w:rFonts w:asciiTheme="minorHAnsi" w:hAnsiTheme="minorHAnsi" w:cstheme="minorHAnsi"/>
          <w:color w:val="00B0F0"/>
          <w:szCs w:val="22"/>
        </w:rPr>
        <w:t xml:space="preserve"> sh.a</w:t>
      </w:r>
    </w:p>
    <w:p w14:paraId="353E77A7" w14:textId="000ABF98" w:rsidR="001E2389" w:rsidRPr="00F20A8C" w:rsidRDefault="001E2389"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Posta Shqiptare sh.a</w:t>
      </w:r>
    </w:p>
    <w:p w14:paraId="5B97DBF3" w14:textId="77777777" w:rsidR="001E2389" w:rsidRPr="00F20A8C" w:rsidRDefault="001E2389" w:rsidP="001E2389">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Easypay sh.p.k</w:t>
      </w:r>
    </w:p>
    <w:p w14:paraId="4D3AE493" w14:textId="77777777" w:rsidR="001E2389" w:rsidRPr="00F20A8C" w:rsidRDefault="001E2389" w:rsidP="001E2389">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Paysera Albania sh.p.k</w:t>
      </w:r>
    </w:p>
    <w:p w14:paraId="17463091" w14:textId="77777777" w:rsidR="001E2389" w:rsidRPr="00F20A8C" w:rsidRDefault="001E2389" w:rsidP="001E2389">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eReja sh.p.k</w:t>
      </w:r>
    </w:p>
    <w:p w14:paraId="23944592" w14:textId="77777777" w:rsidR="001E2389" w:rsidRPr="00F20A8C" w:rsidRDefault="001E2389" w:rsidP="001E2389">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Rpay sh.p.k</w:t>
      </w:r>
    </w:p>
    <w:p w14:paraId="38D22D9F" w14:textId="77777777" w:rsidR="001E2389" w:rsidRPr="00F20A8C" w:rsidRDefault="001E2389" w:rsidP="001E2389">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Rubicon sh.a</w:t>
      </w:r>
    </w:p>
    <w:p w14:paraId="2FAF6366" w14:textId="77777777" w:rsidR="001E2389" w:rsidRPr="00F20A8C" w:rsidRDefault="001E2389" w:rsidP="001E2389">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Iute Pay sh.p.k</w:t>
      </w:r>
    </w:p>
    <w:p w14:paraId="7385A16F" w14:textId="77777777" w:rsidR="001E2389" w:rsidRPr="00F20A8C" w:rsidRDefault="001E2389" w:rsidP="001E2389">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BKT Pay sh.a</w:t>
      </w:r>
    </w:p>
    <w:p w14:paraId="7C8FB52B" w14:textId="77777777" w:rsidR="00E76E21" w:rsidRPr="00F20A8C" w:rsidRDefault="00E76E21" w:rsidP="00E76E21">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Happy Pay sh.a</w:t>
      </w:r>
    </w:p>
    <w:p w14:paraId="513EC50D" w14:textId="77777777" w:rsidR="0051233D" w:rsidRPr="00F20A8C" w:rsidRDefault="0051233D" w:rsidP="00E76E21">
      <w:pPr>
        <w:jc w:val="both"/>
        <w:rPr>
          <w:rFonts w:asciiTheme="minorHAnsi" w:hAnsiTheme="minorHAnsi" w:cstheme="minorHAnsi"/>
          <w:color w:val="00B0F0"/>
          <w:sz w:val="14"/>
          <w:szCs w:val="14"/>
        </w:rPr>
      </w:pPr>
    </w:p>
    <w:p w14:paraId="70446B67" w14:textId="3D03B41A" w:rsidR="00AD0297" w:rsidRPr="00F20A8C" w:rsidRDefault="00F62CF1" w:rsidP="00E76E21">
      <w:pPr>
        <w:pStyle w:val="ListParagraph"/>
        <w:ind w:left="360" w:firstLine="0"/>
        <w:jc w:val="both"/>
        <w:rPr>
          <w:rFonts w:asciiTheme="minorHAnsi" w:hAnsiTheme="minorHAnsi" w:cstheme="minorHAnsi"/>
          <w:color w:val="00B0F0"/>
          <w:szCs w:val="22"/>
        </w:rPr>
      </w:pPr>
      <w:r w:rsidRPr="00F20A8C">
        <w:rPr>
          <w:rFonts w:asciiTheme="minorHAnsi" w:hAnsiTheme="minorHAnsi" w:cstheme="minorHAnsi"/>
          <w:color w:val="00B0F0"/>
          <w:szCs w:val="22"/>
        </w:rPr>
        <w:t>G</w:t>
      </w:r>
      <w:r w:rsidR="001F27E8" w:rsidRPr="00F20A8C">
        <w:rPr>
          <w:rFonts w:asciiTheme="minorHAnsi" w:hAnsiTheme="minorHAnsi" w:cstheme="minorHAnsi"/>
          <w:color w:val="00B0F0"/>
          <w:szCs w:val="22"/>
        </w:rPr>
        <w:t>jat</w:t>
      </w:r>
      <w:r w:rsidR="002268EC" w:rsidRPr="00F20A8C">
        <w:rPr>
          <w:rFonts w:asciiTheme="minorHAnsi" w:hAnsiTheme="minorHAnsi" w:cstheme="minorHAnsi"/>
          <w:color w:val="00B0F0"/>
          <w:szCs w:val="22"/>
        </w:rPr>
        <w:t>ë</w:t>
      </w:r>
      <w:r w:rsidR="001F27E8" w:rsidRPr="00F20A8C">
        <w:rPr>
          <w:rFonts w:asciiTheme="minorHAnsi" w:hAnsiTheme="minorHAnsi" w:cstheme="minorHAnsi"/>
          <w:color w:val="00B0F0"/>
          <w:szCs w:val="22"/>
        </w:rPr>
        <w:t xml:space="preserve"> faz</w:t>
      </w:r>
      <w:r w:rsidR="002268EC" w:rsidRPr="00F20A8C">
        <w:rPr>
          <w:rFonts w:asciiTheme="minorHAnsi" w:hAnsiTheme="minorHAnsi" w:cstheme="minorHAnsi"/>
          <w:color w:val="00B0F0"/>
          <w:szCs w:val="22"/>
        </w:rPr>
        <w:t>ë</w:t>
      </w:r>
      <w:r w:rsidR="001F27E8" w:rsidRPr="00F20A8C">
        <w:rPr>
          <w:rFonts w:asciiTheme="minorHAnsi" w:hAnsiTheme="minorHAnsi" w:cstheme="minorHAnsi"/>
          <w:color w:val="00B0F0"/>
          <w:szCs w:val="22"/>
        </w:rPr>
        <w:t>s s</w:t>
      </w:r>
      <w:r w:rsidR="002268EC" w:rsidRPr="00F20A8C">
        <w:rPr>
          <w:rFonts w:asciiTheme="minorHAnsi" w:hAnsiTheme="minorHAnsi" w:cstheme="minorHAnsi"/>
          <w:color w:val="00B0F0"/>
          <w:szCs w:val="22"/>
        </w:rPr>
        <w:t>ë</w:t>
      </w:r>
      <w:r w:rsidR="001F27E8" w:rsidRPr="00F20A8C">
        <w:rPr>
          <w:rFonts w:asciiTheme="minorHAnsi" w:hAnsiTheme="minorHAnsi" w:cstheme="minorHAnsi"/>
          <w:color w:val="00B0F0"/>
          <w:szCs w:val="22"/>
        </w:rPr>
        <w:t xml:space="preserve"> konsultimit paraprak</w:t>
      </w:r>
      <w:r w:rsidR="005D3D84" w:rsidRPr="00F20A8C">
        <w:rPr>
          <w:rFonts w:asciiTheme="minorHAnsi" w:hAnsiTheme="minorHAnsi" w:cstheme="minorHAnsi"/>
          <w:color w:val="00B0F0"/>
          <w:szCs w:val="22"/>
        </w:rPr>
        <w:t xml:space="preserve"> </w:t>
      </w:r>
      <w:r w:rsidR="00FE3D94" w:rsidRPr="00F20A8C">
        <w:rPr>
          <w:rFonts w:asciiTheme="minorHAnsi" w:hAnsiTheme="minorHAnsi" w:cstheme="minorHAnsi"/>
          <w:color w:val="00B0F0"/>
          <w:szCs w:val="22"/>
        </w:rPr>
        <w:t xml:space="preserve">në datat 30.03.2026 – 20.04.2026, </w:t>
      </w:r>
      <w:r w:rsidR="001F27E8" w:rsidRPr="00F20A8C">
        <w:rPr>
          <w:rFonts w:asciiTheme="minorHAnsi" w:hAnsiTheme="minorHAnsi" w:cstheme="minorHAnsi"/>
          <w:color w:val="00B0F0"/>
          <w:szCs w:val="22"/>
        </w:rPr>
        <w:t>n</w:t>
      </w:r>
      <w:r w:rsidR="002268EC" w:rsidRPr="00F20A8C">
        <w:rPr>
          <w:rFonts w:asciiTheme="minorHAnsi" w:hAnsiTheme="minorHAnsi" w:cstheme="minorHAnsi"/>
          <w:color w:val="00B0F0"/>
          <w:szCs w:val="22"/>
        </w:rPr>
        <w:t>ë</w:t>
      </w:r>
      <w:r w:rsidR="001F27E8" w:rsidRPr="00F20A8C">
        <w:rPr>
          <w:rFonts w:asciiTheme="minorHAnsi" w:hAnsiTheme="minorHAnsi" w:cstheme="minorHAnsi"/>
          <w:color w:val="00B0F0"/>
          <w:szCs w:val="22"/>
        </w:rPr>
        <w:t>p</w:t>
      </w:r>
      <w:r w:rsidR="002268EC" w:rsidRPr="00F20A8C">
        <w:rPr>
          <w:rFonts w:asciiTheme="minorHAnsi" w:hAnsiTheme="minorHAnsi" w:cstheme="minorHAnsi"/>
          <w:color w:val="00B0F0"/>
          <w:szCs w:val="22"/>
        </w:rPr>
        <w:t>ë</w:t>
      </w:r>
      <w:r w:rsidR="001F27E8" w:rsidRPr="00F20A8C">
        <w:rPr>
          <w:rFonts w:asciiTheme="minorHAnsi" w:hAnsiTheme="minorHAnsi" w:cstheme="minorHAnsi"/>
          <w:color w:val="00B0F0"/>
          <w:szCs w:val="22"/>
        </w:rPr>
        <w:t xml:space="preserve">rmjet </w:t>
      </w:r>
      <w:r w:rsidR="00ED1F8D" w:rsidRPr="00F20A8C">
        <w:rPr>
          <w:rFonts w:asciiTheme="minorHAnsi" w:hAnsiTheme="minorHAnsi" w:cstheme="minorHAnsi"/>
          <w:color w:val="00B0F0"/>
          <w:szCs w:val="22"/>
        </w:rPr>
        <w:t>publikimi</w:t>
      </w:r>
      <w:r w:rsidR="00987467" w:rsidRPr="00F20A8C">
        <w:rPr>
          <w:rFonts w:asciiTheme="minorHAnsi" w:hAnsiTheme="minorHAnsi" w:cstheme="minorHAnsi"/>
          <w:color w:val="00B0F0"/>
          <w:szCs w:val="22"/>
        </w:rPr>
        <w:t>t</w:t>
      </w:r>
      <w:r w:rsidR="00ED1F8D" w:rsidRPr="00F20A8C">
        <w:rPr>
          <w:rFonts w:asciiTheme="minorHAnsi" w:hAnsiTheme="minorHAnsi" w:cstheme="minorHAnsi"/>
          <w:color w:val="00B0F0"/>
          <w:szCs w:val="22"/>
        </w:rPr>
        <w:t xml:space="preserve"> të projektligjit në faqen e internetit të Bankës së Shqipërisë</w:t>
      </w:r>
      <w:r w:rsidR="00987467" w:rsidRPr="00F20A8C">
        <w:rPr>
          <w:rFonts w:asciiTheme="minorHAnsi" w:hAnsiTheme="minorHAnsi" w:cstheme="minorHAnsi"/>
          <w:color w:val="00B0F0"/>
          <w:szCs w:val="22"/>
        </w:rPr>
        <w:t xml:space="preserve"> dhe</w:t>
      </w:r>
      <w:r w:rsidR="00ED1F8D" w:rsidRPr="00F20A8C">
        <w:rPr>
          <w:rFonts w:asciiTheme="minorHAnsi" w:hAnsiTheme="minorHAnsi" w:cstheme="minorHAnsi"/>
          <w:color w:val="00B0F0"/>
          <w:szCs w:val="22"/>
        </w:rPr>
        <w:t xml:space="preserve"> </w:t>
      </w:r>
      <w:r w:rsidR="001F27E8" w:rsidRPr="00F20A8C">
        <w:rPr>
          <w:rFonts w:asciiTheme="minorHAnsi" w:hAnsiTheme="minorHAnsi" w:cstheme="minorHAnsi"/>
          <w:color w:val="00B0F0"/>
          <w:szCs w:val="22"/>
        </w:rPr>
        <w:t xml:space="preserve">komunikimit shkresor </w:t>
      </w:r>
      <w:r w:rsidR="00FE3D94" w:rsidRPr="00F20A8C">
        <w:rPr>
          <w:rFonts w:asciiTheme="minorHAnsi" w:hAnsiTheme="minorHAnsi" w:cstheme="minorHAnsi"/>
          <w:color w:val="00B0F0"/>
          <w:szCs w:val="22"/>
        </w:rPr>
        <w:t>me subjektet</w:t>
      </w:r>
      <w:r w:rsidR="00987467" w:rsidRPr="00F20A8C">
        <w:rPr>
          <w:rFonts w:asciiTheme="minorHAnsi" w:hAnsiTheme="minorHAnsi" w:cstheme="minorHAnsi"/>
          <w:color w:val="00B0F0"/>
          <w:szCs w:val="22"/>
        </w:rPr>
        <w:t>,</w:t>
      </w:r>
      <w:r w:rsidR="001F27E8" w:rsidRPr="00F20A8C">
        <w:rPr>
          <w:rFonts w:asciiTheme="minorHAnsi" w:hAnsiTheme="minorHAnsi" w:cstheme="minorHAnsi"/>
          <w:color w:val="00B0F0"/>
          <w:szCs w:val="22"/>
        </w:rPr>
        <w:t xml:space="preserve"> pati </w:t>
      </w:r>
      <w:r w:rsidR="00FE3D94" w:rsidRPr="00F20A8C">
        <w:rPr>
          <w:rFonts w:asciiTheme="minorHAnsi" w:hAnsiTheme="minorHAnsi" w:cstheme="minorHAnsi"/>
          <w:color w:val="00B0F0"/>
          <w:szCs w:val="22"/>
        </w:rPr>
        <w:t xml:space="preserve">disa </w:t>
      </w:r>
      <w:r w:rsidR="001F27E8" w:rsidRPr="00F20A8C">
        <w:rPr>
          <w:rFonts w:asciiTheme="minorHAnsi" w:hAnsiTheme="minorHAnsi" w:cstheme="minorHAnsi"/>
          <w:color w:val="00B0F0"/>
          <w:szCs w:val="22"/>
        </w:rPr>
        <w:t>komente</w:t>
      </w:r>
      <w:r w:rsidR="00FE3D94" w:rsidRPr="00F20A8C">
        <w:rPr>
          <w:rFonts w:asciiTheme="minorHAnsi" w:hAnsiTheme="minorHAnsi" w:cstheme="minorHAnsi"/>
          <w:color w:val="00B0F0"/>
          <w:szCs w:val="22"/>
        </w:rPr>
        <w:t xml:space="preserve"> ose kërkesa për sqarime,</w:t>
      </w:r>
      <w:r w:rsidR="001F27E8" w:rsidRPr="00F20A8C">
        <w:rPr>
          <w:rFonts w:asciiTheme="minorHAnsi" w:hAnsiTheme="minorHAnsi" w:cstheme="minorHAnsi"/>
          <w:color w:val="00B0F0"/>
          <w:szCs w:val="22"/>
        </w:rPr>
        <w:t xml:space="preserve"> t</w:t>
      </w:r>
      <w:r w:rsidR="002268EC" w:rsidRPr="00F20A8C">
        <w:rPr>
          <w:rFonts w:asciiTheme="minorHAnsi" w:hAnsiTheme="minorHAnsi" w:cstheme="minorHAnsi"/>
          <w:color w:val="00B0F0"/>
          <w:szCs w:val="22"/>
        </w:rPr>
        <w:t>ë</w:t>
      </w:r>
      <w:r w:rsidR="001F27E8" w:rsidRPr="00F20A8C">
        <w:rPr>
          <w:rFonts w:asciiTheme="minorHAnsi" w:hAnsiTheme="minorHAnsi" w:cstheme="minorHAnsi"/>
          <w:color w:val="00B0F0"/>
          <w:szCs w:val="22"/>
        </w:rPr>
        <w:t xml:space="preserve"> d</w:t>
      </w:r>
      <w:r w:rsidR="002268EC" w:rsidRPr="00F20A8C">
        <w:rPr>
          <w:rFonts w:asciiTheme="minorHAnsi" w:hAnsiTheme="minorHAnsi" w:cstheme="minorHAnsi"/>
          <w:color w:val="00B0F0"/>
          <w:szCs w:val="22"/>
        </w:rPr>
        <w:t>ë</w:t>
      </w:r>
      <w:r w:rsidR="001F27E8" w:rsidRPr="00F20A8C">
        <w:rPr>
          <w:rFonts w:asciiTheme="minorHAnsi" w:hAnsiTheme="minorHAnsi" w:cstheme="minorHAnsi"/>
          <w:color w:val="00B0F0"/>
          <w:szCs w:val="22"/>
        </w:rPr>
        <w:t>rguara n</w:t>
      </w:r>
      <w:r w:rsidR="002268EC" w:rsidRPr="00F20A8C">
        <w:rPr>
          <w:rFonts w:asciiTheme="minorHAnsi" w:hAnsiTheme="minorHAnsi" w:cstheme="minorHAnsi"/>
          <w:color w:val="00B0F0"/>
          <w:szCs w:val="22"/>
        </w:rPr>
        <w:t>ë</w:t>
      </w:r>
      <w:r w:rsidR="001F27E8" w:rsidRPr="00F20A8C">
        <w:rPr>
          <w:rFonts w:asciiTheme="minorHAnsi" w:hAnsiTheme="minorHAnsi" w:cstheme="minorHAnsi"/>
          <w:color w:val="00B0F0"/>
          <w:szCs w:val="22"/>
        </w:rPr>
        <w:t xml:space="preserve"> rrug</w:t>
      </w:r>
      <w:r w:rsidR="002268EC" w:rsidRPr="00F20A8C">
        <w:rPr>
          <w:rFonts w:asciiTheme="minorHAnsi" w:hAnsiTheme="minorHAnsi" w:cstheme="minorHAnsi"/>
          <w:color w:val="00B0F0"/>
          <w:szCs w:val="22"/>
        </w:rPr>
        <w:t>ë</w:t>
      </w:r>
      <w:r w:rsidR="001F27E8" w:rsidRPr="00F20A8C">
        <w:rPr>
          <w:rFonts w:asciiTheme="minorHAnsi" w:hAnsiTheme="minorHAnsi" w:cstheme="minorHAnsi"/>
          <w:color w:val="00B0F0"/>
          <w:szCs w:val="22"/>
        </w:rPr>
        <w:t xml:space="preserve"> shkresore </w:t>
      </w:r>
      <w:r w:rsidR="00FE3D94" w:rsidRPr="00F20A8C">
        <w:rPr>
          <w:rFonts w:asciiTheme="minorHAnsi" w:hAnsiTheme="minorHAnsi" w:cstheme="minorHAnsi"/>
          <w:color w:val="00B0F0"/>
          <w:szCs w:val="22"/>
        </w:rPr>
        <w:t>ose</w:t>
      </w:r>
      <w:r w:rsidR="001F27E8" w:rsidRPr="00F20A8C">
        <w:rPr>
          <w:rFonts w:asciiTheme="minorHAnsi" w:hAnsiTheme="minorHAnsi" w:cstheme="minorHAnsi"/>
          <w:color w:val="00B0F0"/>
          <w:szCs w:val="22"/>
        </w:rPr>
        <w:t xml:space="preserve"> elektronike nga subjektet e m</w:t>
      </w:r>
      <w:r w:rsidR="002268EC" w:rsidRPr="00F20A8C">
        <w:rPr>
          <w:rFonts w:asciiTheme="minorHAnsi" w:hAnsiTheme="minorHAnsi" w:cstheme="minorHAnsi"/>
          <w:color w:val="00B0F0"/>
          <w:szCs w:val="22"/>
        </w:rPr>
        <w:t>ë</w:t>
      </w:r>
      <w:r w:rsidR="001F27E8" w:rsidRPr="00F20A8C">
        <w:rPr>
          <w:rFonts w:asciiTheme="minorHAnsi" w:hAnsiTheme="minorHAnsi" w:cstheme="minorHAnsi"/>
          <w:color w:val="00B0F0"/>
          <w:szCs w:val="22"/>
        </w:rPr>
        <w:t>poshtme</w:t>
      </w:r>
      <w:r w:rsidR="00AD0297" w:rsidRPr="00F20A8C">
        <w:rPr>
          <w:rFonts w:asciiTheme="minorHAnsi" w:hAnsiTheme="minorHAnsi" w:cstheme="minorHAnsi"/>
          <w:color w:val="00B0F0"/>
          <w:szCs w:val="22"/>
        </w:rPr>
        <w:t>:</w:t>
      </w:r>
      <w:r w:rsidR="00826BFA" w:rsidRPr="00F20A8C">
        <w:rPr>
          <w:rFonts w:asciiTheme="minorHAnsi" w:hAnsiTheme="minorHAnsi" w:cstheme="minorHAnsi"/>
          <w:color w:val="00B0F0"/>
          <w:szCs w:val="22"/>
        </w:rPr>
        <w:t xml:space="preserve"> </w:t>
      </w:r>
    </w:p>
    <w:p w14:paraId="0BD95285" w14:textId="77777777" w:rsidR="00AD0297" w:rsidRPr="00F20A8C" w:rsidRDefault="00AD0297" w:rsidP="00AD0297">
      <w:pPr>
        <w:ind w:left="360"/>
        <w:jc w:val="both"/>
        <w:rPr>
          <w:rFonts w:ascii="Times New Roman" w:hAnsi="Times New Roman"/>
          <w:color w:val="EE0000"/>
          <w:sz w:val="12"/>
          <w:szCs w:val="12"/>
        </w:rPr>
      </w:pPr>
    </w:p>
    <w:p w14:paraId="2B3F74C9" w14:textId="7384E371" w:rsidR="00AD0297" w:rsidRPr="00F20A8C" w:rsidRDefault="001F27E8" w:rsidP="00AD029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Credins</w:t>
      </w:r>
    </w:p>
    <w:p w14:paraId="3C700CE6" w14:textId="756F2DD7" w:rsidR="00AD0297" w:rsidRPr="00F20A8C" w:rsidRDefault="001F27E8" w:rsidP="00AD029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ProCredit</w:t>
      </w:r>
    </w:p>
    <w:p w14:paraId="31ABB124" w14:textId="60458EC2" w:rsidR="00AD0297" w:rsidRPr="00F20A8C" w:rsidRDefault="001F27E8" w:rsidP="00AD029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Happy Pay</w:t>
      </w:r>
      <w:r w:rsidR="00450ABA" w:rsidRPr="00F20A8C">
        <w:rPr>
          <w:rFonts w:asciiTheme="minorHAnsi" w:hAnsiTheme="minorHAnsi" w:cstheme="minorHAnsi"/>
          <w:color w:val="00B0F0"/>
          <w:szCs w:val="22"/>
        </w:rPr>
        <w:t xml:space="preserve"> sh.a</w:t>
      </w:r>
    </w:p>
    <w:p w14:paraId="22B786E6" w14:textId="59ED1E91" w:rsidR="00AD0297" w:rsidRPr="00F20A8C" w:rsidRDefault="001F27E8" w:rsidP="00AD029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AK Invest</w:t>
      </w:r>
      <w:r w:rsidR="00AB6D84" w:rsidRPr="00F20A8C">
        <w:rPr>
          <w:rFonts w:asciiTheme="minorHAnsi" w:hAnsiTheme="minorHAnsi" w:cstheme="minorHAnsi"/>
          <w:color w:val="00B0F0"/>
          <w:szCs w:val="22"/>
        </w:rPr>
        <w:t xml:space="preserve"> sh.a</w:t>
      </w:r>
    </w:p>
    <w:p w14:paraId="3590D0B5" w14:textId="05B66687" w:rsidR="001E2389" w:rsidRPr="00F20A8C" w:rsidRDefault="001E2389" w:rsidP="00AD029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Easypay sh.p.k</w:t>
      </w:r>
    </w:p>
    <w:p w14:paraId="75BEF0B4" w14:textId="2ECB2630" w:rsidR="00AD0297" w:rsidRPr="00F20A8C" w:rsidRDefault="001F27E8" w:rsidP="00AD029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Iute Pay</w:t>
      </w:r>
      <w:r w:rsidR="00AB6D84" w:rsidRPr="00F20A8C">
        <w:rPr>
          <w:rFonts w:asciiTheme="minorHAnsi" w:hAnsiTheme="minorHAnsi" w:cstheme="minorHAnsi"/>
          <w:color w:val="00B0F0"/>
          <w:szCs w:val="22"/>
        </w:rPr>
        <w:t xml:space="preserve"> sh.p.k</w:t>
      </w:r>
    </w:p>
    <w:p w14:paraId="392530B6" w14:textId="1CD2D25F" w:rsidR="00AD0297" w:rsidRPr="00F20A8C" w:rsidRDefault="001F27E8" w:rsidP="00AD029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lastRenderedPageBreak/>
        <w:t>Paysera</w:t>
      </w:r>
      <w:r w:rsidR="00450ABA" w:rsidRPr="00F20A8C">
        <w:rPr>
          <w:rFonts w:asciiTheme="minorHAnsi" w:hAnsiTheme="minorHAnsi" w:cstheme="minorHAnsi"/>
          <w:color w:val="00B0F0"/>
          <w:szCs w:val="22"/>
        </w:rPr>
        <w:t xml:space="preserve"> Albania sh.p.k</w:t>
      </w:r>
    </w:p>
    <w:p w14:paraId="62CA91C1" w14:textId="795FEBD9" w:rsidR="00AD0297" w:rsidRPr="00F20A8C" w:rsidRDefault="00450ABA" w:rsidP="00AD029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R</w:t>
      </w:r>
      <w:r w:rsidR="001F27E8" w:rsidRPr="00F20A8C">
        <w:rPr>
          <w:rFonts w:asciiTheme="minorHAnsi" w:hAnsiTheme="minorHAnsi" w:cstheme="minorHAnsi"/>
          <w:color w:val="00B0F0"/>
          <w:szCs w:val="22"/>
        </w:rPr>
        <w:t>pay</w:t>
      </w:r>
      <w:r w:rsidRPr="00F20A8C">
        <w:rPr>
          <w:rFonts w:asciiTheme="minorHAnsi" w:hAnsiTheme="minorHAnsi" w:cstheme="minorHAnsi"/>
          <w:color w:val="00B0F0"/>
          <w:szCs w:val="22"/>
        </w:rPr>
        <w:t xml:space="preserve"> sh.p.k</w:t>
      </w:r>
    </w:p>
    <w:p w14:paraId="10467893" w14:textId="53CA9B67" w:rsidR="00AD0297" w:rsidRPr="00F20A8C" w:rsidRDefault="001F27E8" w:rsidP="00AD029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eReja</w:t>
      </w:r>
      <w:r w:rsidR="00450ABA" w:rsidRPr="00F20A8C">
        <w:rPr>
          <w:rFonts w:asciiTheme="minorHAnsi" w:hAnsiTheme="minorHAnsi" w:cstheme="minorHAnsi"/>
          <w:color w:val="00B0F0"/>
          <w:szCs w:val="22"/>
        </w:rPr>
        <w:t xml:space="preserve"> sh.p.k</w:t>
      </w:r>
    </w:p>
    <w:p w14:paraId="7A8C629C" w14:textId="440090D3" w:rsidR="00AD0297" w:rsidRPr="00F20A8C" w:rsidRDefault="00450ABA" w:rsidP="00AD029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BKT Pay sh.a</w:t>
      </w:r>
    </w:p>
    <w:p w14:paraId="60C7ED81" w14:textId="77777777" w:rsidR="00106273" w:rsidRPr="00F20A8C" w:rsidRDefault="00106273" w:rsidP="001F27E8">
      <w:pPr>
        <w:jc w:val="both"/>
        <w:rPr>
          <w:rFonts w:asciiTheme="minorHAnsi" w:hAnsiTheme="minorHAnsi" w:cstheme="minorHAnsi"/>
          <w:sz w:val="14"/>
          <w:szCs w:val="14"/>
        </w:rPr>
      </w:pPr>
    </w:p>
    <w:p w14:paraId="016B799D" w14:textId="0BD8F191" w:rsidR="00987467" w:rsidRPr="00F20A8C" w:rsidRDefault="00987467" w:rsidP="00F62CF1">
      <w:pPr>
        <w:ind w:left="360"/>
        <w:jc w:val="both"/>
        <w:rPr>
          <w:rFonts w:asciiTheme="minorHAnsi" w:hAnsiTheme="minorHAnsi" w:cstheme="minorHAnsi"/>
          <w:color w:val="00B0F0"/>
          <w:szCs w:val="22"/>
        </w:rPr>
      </w:pPr>
      <w:r w:rsidRPr="00F20A8C">
        <w:rPr>
          <w:rFonts w:asciiTheme="minorHAnsi" w:hAnsiTheme="minorHAnsi" w:cstheme="minorHAnsi"/>
          <w:color w:val="00B0F0"/>
          <w:szCs w:val="22"/>
        </w:rPr>
        <w:t>Nd</w:t>
      </w:r>
      <w:r w:rsidR="00F37609" w:rsidRPr="00F20A8C">
        <w:rPr>
          <w:rFonts w:asciiTheme="minorHAnsi" w:hAnsiTheme="minorHAnsi" w:cstheme="minorHAnsi"/>
          <w:color w:val="00B0F0"/>
          <w:szCs w:val="22"/>
        </w:rPr>
        <w:t>ë</w:t>
      </w:r>
      <w:r w:rsidRPr="00F20A8C">
        <w:rPr>
          <w:rFonts w:asciiTheme="minorHAnsi" w:hAnsiTheme="minorHAnsi" w:cstheme="minorHAnsi"/>
          <w:color w:val="00B0F0"/>
          <w:szCs w:val="22"/>
        </w:rPr>
        <w:t>rsa, jan</w:t>
      </w:r>
      <w:r w:rsidR="00F37609" w:rsidRPr="00F20A8C">
        <w:rPr>
          <w:rFonts w:asciiTheme="minorHAnsi" w:hAnsiTheme="minorHAnsi" w:cstheme="minorHAnsi"/>
          <w:color w:val="00B0F0"/>
          <w:szCs w:val="22"/>
        </w:rPr>
        <w:t>ë</w:t>
      </w:r>
      <w:r w:rsidRPr="00F20A8C">
        <w:rPr>
          <w:rFonts w:asciiTheme="minorHAnsi" w:hAnsiTheme="minorHAnsi" w:cstheme="minorHAnsi"/>
          <w:color w:val="00B0F0"/>
          <w:szCs w:val="22"/>
        </w:rPr>
        <w:t xml:space="preserve"> shprehur dakord me projektligjin ose nuk kan</w:t>
      </w:r>
      <w:r w:rsidR="00F37609" w:rsidRPr="00F20A8C">
        <w:rPr>
          <w:rFonts w:asciiTheme="minorHAnsi" w:hAnsiTheme="minorHAnsi" w:cstheme="minorHAnsi"/>
          <w:color w:val="00B0F0"/>
          <w:szCs w:val="22"/>
        </w:rPr>
        <w:t>ë</w:t>
      </w:r>
      <w:r w:rsidRPr="00F20A8C">
        <w:rPr>
          <w:rFonts w:asciiTheme="minorHAnsi" w:hAnsiTheme="minorHAnsi" w:cstheme="minorHAnsi"/>
          <w:color w:val="00B0F0"/>
          <w:szCs w:val="22"/>
        </w:rPr>
        <w:t xml:space="preserve"> pasur komente: </w:t>
      </w:r>
    </w:p>
    <w:p w14:paraId="11F63BC8" w14:textId="77777777" w:rsidR="00987467" w:rsidRPr="00F20A8C" w:rsidRDefault="00987467" w:rsidP="00F62CF1">
      <w:pPr>
        <w:ind w:left="360"/>
        <w:jc w:val="both"/>
        <w:rPr>
          <w:rFonts w:asciiTheme="minorHAnsi" w:hAnsiTheme="minorHAnsi" w:cstheme="minorHAnsi"/>
          <w:color w:val="00B0F0"/>
          <w:sz w:val="14"/>
          <w:szCs w:val="14"/>
        </w:rPr>
      </w:pPr>
    </w:p>
    <w:p w14:paraId="25DD160A" w14:textId="6F09E325" w:rsidR="00987467" w:rsidRPr="00F20A8C" w:rsidRDefault="00987467" w:rsidP="0098746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Raiffeisen</w:t>
      </w:r>
    </w:p>
    <w:p w14:paraId="2DA3547A" w14:textId="2A6EDEEB" w:rsidR="00987467" w:rsidRPr="00F20A8C" w:rsidRDefault="00987467" w:rsidP="0098746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OTP</w:t>
      </w:r>
      <w:r w:rsidR="00450ABA" w:rsidRPr="00F20A8C">
        <w:rPr>
          <w:rFonts w:asciiTheme="minorHAnsi" w:hAnsiTheme="minorHAnsi" w:cstheme="minorHAnsi"/>
          <w:color w:val="00B0F0"/>
          <w:szCs w:val="22"/>
        </w:rPr>
        <w:t xml:space="preserve"> Albania</w:t>
      </w:r>
    </w:p>
    <w:p w14:paraId="27F9CBBE" w14:textId="5D3A0D8D" w:rsidR="00987467" w:rsidRPr="00F20A8C" w:rsidRDefault="00987467" w:rsidP="0098746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Banka Intesa Sanpaolo</w:t>
      </w:r>
    </w:p>
    <w:p w14:paraId="43D0B03C" w14:textId="68498F81" w:rsidR="00987467" w:rsidRPr="00F20A8C" w:rsidRDefault="00987467" w:rsidP="0098746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Rubicon</w:t>
      </w:r>
      <w:r w:rsidR="00AB6D84" w:rsidRPr="00F20A8C">
        <w:rPr>
          <w:rFonts w:asciiTheme="minorHAnsi" w:hAnsiTheme="minorHAnsi" w:cstheme="minorHAnsi"/>
          <w:color w:val="00B0F0"/>
          <w:szCs w:val="22"/>
        </w:rPr>
        <w:t xml:space="preserve"> sh.a</w:t>
      </w:r>
    </w:p>
    <w:p w14:paraId="5DD11783" w14:textId="2514CA77" w:rsidR="00987467" w:rsidRPr="00F20A8C" w:rsidRDefault="00987467" w:rsidP="00987467">
      <w:pPr>
        <w:pStyle w:val="ListParagraph"/>
        <w:numPr>
          <w:ilvl w:val="0"/>
          <w:numId w:val="5"/>
        </w:numPr>
        <w:jc w:val="both"/>
        <w:rPr>
          <w:rFonts w:asciiTheme="minorHAnsi" w:hAnsiTheme="minorHAnsi" w:cstheme="minorHAnsi"/>
          <w:color w:val="00B0F0"/>
          <w:szCs w:val="22"/>
        </w:rPr>
      </w:pPr>
      <w:r w:rsidRPr="00F20A8C">
        <w:rPr>
          <w:rFonts w:asciiTheme="minorHAnsi" w:hAnsiTheme="minorHAnsi" w:cstheme="minorHAnsi"/>
          <w:color w:val="00B0F0"/>
          <w:szCs w:val="22"/>
        </w:rPr>
        <w:t>MPay</w:t>
      </w:r>
      <w:r w:rsidR="00AB6D84" w:rsidRPr="00F20A8C">
        <w:rPr>
          <w:rFonts w:asciiTheme="minorHAnsi" w:hAnsiTheme="minorHAnsi" w:cstheme="minorHAnsi"/>
          <w:color w:val="00B0F0"/>
          <w:szCs w:val="22"/>
        </w:rPr>
        <w:t xml:space="preserve"> sh.p.k</w:t>
      </w:r>
    </w:p>
    <w:p w14:paraId="4871B43B" w14:textId="77777777" w:rsidR="00840490" w:rsidRPr="00F20A8C" w:rsidRDefault="00840490" w:rsidP="00840490">
      <w:pPr>
        <w:pStyle w:val="ListParagraph"/>
        <w:ind w:left="720" w:firstLine="0"/>
        <w:jc w:val="both"/>
        <w:rPr>
          <w:rFonts w:asciiTheme="minorHAnsi" w:hAnsiTheme="minorHAnsi" w:cstheme="minorHAnsi"/>
          <w:color w:val="00B0F0"/>
          <w:szCs w:val="22"/>
        </w:rPr>
      </w:pPr>
    </w:p>
    <w:p w14:paraId="1E642DA7" w14:textId="1503E66F" w:rsidR="00F62CF1" w:rsidRPr="00F20A8C" w:rsidRDefault="00F62CF1" w:rsidP="00840490">
      <w:pPr>
        <w:pStyle w:val="ListParagraph"/>
        <w:numPr>
          <w:ilvl w:val="0"/>
          <w:numId w:val="8"/>
        </w:numPr>
        <w:ind w:left="360" w:hanging="360"/>
        <w:jc w:val="both"/>
        <w:rPr>
          <w:rFonts w:asciiTheme="minorHAnsi" w:hAnsiTheme="minorHAnsi" w:cstheme="minorHAnsi"/>
          <w:color w:val="00B0F0"/>
          <w:szCs w:val="22"/>
        </w:rPr>
      </w:pPr>
      <w:r w:rsidRPr="00F20A8C">
        <w:rPr>
          <w:rFonts w:asciiTheme="minorHAnsi" w:hAnsiTheme="minorHAnsi" w:cstheme="minorHAnsi"/>
          <w:color w:val="00B0F0"/>
          <w:szCs w:val="22"/>
        </w:rPr>
        <w:t xml:space="preserve">Gjatë fazës së konsultimit </w:t>
      </w:r>
      <w:r w:rsidR="00AB6D84" w:rsidRPr="00F20A8C">
        <w:rPr>
          <w:rFonts w:asciiTheme="minorHAnsi" w:hAnsiTheme="minorHAnsi" w:cstheme="minorHAnsi"/>
          <w:color w:val="00B0F0"/>
          <w:szCs w:val="22"/>
        </w:rPr>
        <w:t xml:space="preserve">publik </w:t>
      </w:r>
      <w:r w:rsidRPr="00F20A8C">
        <w:rPr>
          <w:rFonts w:asciiTheme="minorHAnsi" w:hAnsiTheme="minorHAnsi" w:cstheme="minorHAnsi"/>
          <w:color w:val="00B0F0"/>
          <w:szCs w:val="22"/>
        </w:rPr>
        <w:t>që është kryer në rrugë elektronike nëpërmjet Regjistrit Elektronik (RENJK)</w:t>
      </w:r>
      <w:r w:rsidR="00E351BD" w:rsidRPr="00F20A8C">
        <w:rPr>
          <w:rFonts w:asciiTheme="minorHAnsi" w:hAnsiTheme="minorHAnsi" w:cstheme="minorHAnsi"/>
          <w:color w:val="00B0F0"/>
          <w:szCs w:val="22"/>
        </w:rPr>
        <w:t>,</w:t>
      </w:r>
      <w:r w:rsidRPr="00F20A8C">
        <w:rPr>
          <w:rFonts w:asciiTheme="minorHAnsi" w:hAnsiTheme="minorHAnsi" w:cstheme="minorHAnsi"/>
          <w:color w:val="00B0F0"/>
          <w:szCs w:val="22"/>
        </w:rPr>
        <w:t xml:space="preserve"> nuk pati komente.</w:t>
      </w:r>
    </w:p>
    <w:p w14:paraId="4C1CA92A" w14:textId="77777777" w:rsidR="00332DB4" w:rsidRPr="00F20A8C" w:rsidRDefault="00332DB4" w:rsidP="002E361D">
      <w:pPr>
        <w:ind w:left="360"/>
        <w:jc w:val="both"/>
        <w:rPr>
          <w:rFonts w:asciiTheme="minorHAnsi" w:hAnsiTheme="minorHAnsi" w:cstheme="minorHAnsi"/>
          <w:color w:val="00B0F0"/>
          <w:szCs w:val="22"/>
        </w:rPr>
      </w:pPr>
    </w:p>
    <w:p w14:paraId="04070693" w14:textId="77777777" w:rsidR="00F5303C" w:rsidRPr="00F20A8C" w:rsidRDefault="00F5303C" w:rsidP="00F5303C">
      <w:pPr>
        <w:ind w:left="360"/>
        <w:jc w:val="both"/>
        <w:rPr>
          <w:rFonts w:asciiTheme="minorHAnsi" w:hAnsiTheme="minorHAnsi" w:cstheme="minorHAnsi"/>
          <w:i/>
          <w:szCs w:val="24"/>
        </w:rPr>
      </w:pPr>
      <w:r w:rsidRPr="00F20A8C">
        <w:rPr>
          <w:rFonts w:asciiTheme="minorHAnsi" w:hAnsiTheme="minorHAnsi" w:cstheme="minorHAnsi"/>
          <w:i/>
          <w:szCs w:val="24"/>
        </w:rPr>
        <w:t>Përmendni gjithashtu numrin dhe strukturën e palëve të interesuara që morën pjesë në takime publike ose seanca të organeve këshilluese.</w:t>
      </w:r>
    </w:p>
    <w:p w14:paraId="1C93D8EC" w14:textId="77777777" w:rsidR="00F5303C" w:rsidRPr="00F20A8C" w:rsidRDefault="00F5303C" w:rsidP="00F5303C">
      <w:pPr>
        <w:ind w:left="360"/>
        <w:jc w:val="both"/>
        <w:rPr>
          <w:rFonts w:asciiTheme="minorHAnsi" w:hAnsiTheme="minorHAnsi" w:cstheme="minorHAnsi"/>
          <w:i/>
          <w:szCs w:val="24"/>
        </w:rPr>
      </w:pPr>
      <w:r w:rsidRPr="00F20A8C">
        <w:rPr>
          <w:rFonts w:asciiTheme="minorHAnsi" w:hAnsiTheme="minorHAnsi" w:cstheme="minorHAnsi"/>
          <w:i/>
          <w:szCs w:val="24"/>
        </w:rPr>
        <w:t>Specifikoni palët e interesuara që `morën pjesë në grupin e punës për hartimin e aktit.</w:t>
      </w:r>
    </w:p>
    <w:p w14:paraId="5D2D67D2" w14:textId="77777777" w:rsidR="00F5303C" w:rsidRPr="00F20A8C" w:rsidRDefault="00F5303C" w:rsidP="002E361D">
      <w:pPr>
        <w:ind w:left="360"/>
        <w:jc w:val="both"/>
        <w:rPr>
          <w:rFonts w:asciiTheme="minorHAnsi" w:hAnsiTheme="minorHAnsi" w:cstheme="minorHAnsi"/>
          <w:color w:val="00B0F0"/>
          <w:szCs w:val="22"/>
        </w:rPr>
      </w:pPr>
    </w:p>
    <w:p w14:paraId="0E92D953" w14:textId="3045F1D3" w:rsidR="00F5303C" w:rsidRPr="00F20A8C" w:rsidRDefault="00F5303C" w:rsidP="00F5303C">
      <w:pPr>
        <w:ind w:left="360"/>
        <w:jc w:val="both"/>
        <w:rPr>
          <w:rFonts w:asciiTheme="minorHAnsi" w:hAnsiTheme="minorHAnsi" w:cstheme="minorHAnsi"/>
          <w:color w:val="00B0F0"/>
          <w:szCs w:val="22"/>
        </w:rPr>
      </w:pPr>
      <w:r w:rsidRPr="00F20A8C">
        <w:rPr>
          <w:rFonts w:asciiTheme="minorHAnsi" w:hAnsiTheme="minorHAnsi" w:cstheme="minorHAnsi"/>
          <w:color w:val="00B0F0"/>
          <w:szCs w:val="22"/>
        </w:rPr>
        <w:t>Grupi i punës është përbërë ekskluzivisht nga përfaqësues të Bankës së Shqipërisë, konkretisht nga Departamenti i Mbikëqyrjes</w:t>
      </w:r>
      <w:r w:rsidR="005D2A6A" w:rsidRPr="00F20A8C">
        <w:rPr>
          <w:rFonts w:asciiTheme="minorHAnsi" w:hAnsiTheme="minorHAnsi" w:cstheme="minorHAnsi"/>
          <w:color w:val="00B0F0"/>
          <w:szCs w:val="22"/>
        </w:rPr>
        <w:t>,</w:t>
      </w:r>
      <w:r w:rsidRPr="00F20A8C">
        <w:rPr>
          <w:rFonts w:asciiTheme="minorHAnsi" w:hAnsiTheme="minorHAnsi" w:cstheme="minorHAnsi"/>
          <w:color w:val="00B0F0"/>
          <w:szCs w:val="22"/>
        </w:rPr>
        <w:t xml:space="preserve"> Departamenti Juridik, Departamenti i Sistemeve të Pagesave, Kontabilitetit dhe Financës dhe Zyra e Integrimit.  Për hartimin e projektligjit për ndryshimet në ligjin nr. 55/2020 “Për shërbimet e pagesave”, nuk ka pasur përfaqësues të palëve të interesuara të jashtme në grupin e punës.  </w:t>
      </w:r>
    </w:p>
    <w:p w14:paraId="32A80059" w14:textId="77777777" w:rsidR="00F5303C" w:rsidRPr="00F20A8C" w:rsidRDefault="00F5303C" w:rsidP="00F5303C">
      <w:pPr>
        <w:ind w:left="360"/>
        <w:jc w:val="both"/>
        <w:rPr>
          <w:rFonts w:asciiTheme="minorHAnsi" w:hAnsiTheme="minorHAnsi" w:cstheme="minorHAnsi"/>
          <w:color w:val="00B0F0"/>
          <w:szCs w:val="22"/>
        </w:rPr>
      </w:pPr>
    </w:p>
    <w:p w14:paraId="72221CD6" w14:textId="77777777" w:rsidR="00F5303C" w:rsidRPr="00F20A8C" w:rsidRDefault="00F5303C" w:rsidP="00F5303C">
      <w:pPr>
        <w:ind w:left="360"/>
        <w:jc w:val="both"/>
        <w:rPr>
          <w:rFonts w:asciiTheme="minorHAnsi" w:hAnsiTheme="minorHAnsi" w:cstheme="minorHAnsi"/>
          <w:color w:val="00B0F0"/>
          <w:szCs w:val="22"/>
        </w:rPr>
      </w:pPr>
      <w:r w:rsidRPr="00F20A8C">
        <w:rPr>
          <w:rFonts w:asciiTheme="minorHAnsi" w:hAnsiTheme="minorHAnsi" w:cstheme="minorHAnsi"/>
          <w:color w:val="00B0F0"/>
          <w:szCs w:val="22"/>
        </w:rPr>
        <w:t xml:space="preserve">Gjithashtu, nuk janë zhvilluar takime publike apo seanca të organeve këshilluese në kuadër të hartimit të këtij projektligji. </w:t>
      </w:r>
    </w:p>
    <w:p w14:paraId="1894C3CC" w14:textId="77777777" w:rsidR="00F5303C" w:rsidRPr="00F20A8C" w:rsidRDefault="00F5303C" w:rsidP="002E361D">
      <w:pPr>
        <w:ind w:left="360"/>
        <w:jc w:val="both"/>
        <w:rPr>
          <w:rFonts w:asciiTheme="minorHAnsi" w:hAnsiTheme="minorHAnsi" w:cstheme="minorHAnsi"/>
          <w:color w:val="00B0F0"/>
          <w:szCs w:val="22"/>
        </w:rPr>
      </w:pPr>
    </w:p>
    <w:p w14:paraId="02928528" w14:textId="77777777" w:rsidR="007755F2" w:rsidRPr="00F20A8C" w:rsidRDefault="007755F2" w:rsidP="005B6D2B">
      <w:pPr>
        <w:tabs>
          <w:tab w:val="left" w:pos="7552"/>
        </w:tabs>
        <w:ind w:left="360"/>
        <w:jc w:val="both"/>
        <w:rPr>
          <w:rFonts w:asciiTheme="minorHAnsi" w:hAnsiTheme="minorHAnsi" w:cstheme="minorHAnsi"/>
          <w:sz w:val="14"/>
          <w:szCs w:val="16"/>
        </w:rPr>
      </w:pPr>
    </w:p>
    <w:p w14:paraId="4A0AFB4A" w14:textId="29906305" w:rsidR="005B6D2B" w:rsidRPr="00E31BA8" w:rsidRDefault="00897AFE" w:rsidP="00A30052">
      <w:pPr>
        <w:pStyle w:val="ListParagraph"/>
        <w:ind w:left="1080" w:firstLine="0"/>
        <w:jc w:val="both"/>
        <w:rPr>
          <w:rFonts w:asciiTheme="minorHAnsi" w:hAnsiTheme="minorHAnsi" w:cstheme="minorHAnsi"/>
          <w:i/>
          <w:iCs/>
          <w:szCs w:val="24"/>
        </w:rPr>
      </w:pPr>
      <w:r w:rsidRPr="00EB2597">
        <w:rPr>
          <w:rFonts w:asciiTheme="minorHAnsi" w:hAnsiTheme="minorHAnsi" w:cstheme="minorHAnsi"/>
          <w:b/>
          <w:bCs/>
          <w:szCs w:val="24"/>
        </w:rPr>
        <w:t xml:space="preserve">5. </w:t>
      </w:r>
      <w:r w:rsidR="005B6D2B" w:rsidRPr="00F20A8C">
        <w:rPr>
          <w:rFonts w:asciiTheme="minorHAnsi" w:hAnsiTheme="minorHAnsi" w:cstheme="minorHAnsi"/>
          <w:b/>
          <w:bCs/>
          <w:szCs w:val="24"/>
        </w:rPr>
        <w:t xml:space="preserve"> Pasqyra e komenteve të pranuara me arsyetimin e komenteve të pranuara/ refuzuara</w:t>
      </w:r>
    </w:p>
    <w:p w14:paraId="225722B9" w14:textId="77777777" w:rsidR="005B6D2B" w:rsidRPr="00F20A8C" w:rsidRDefault="005B6D2B" w:rsidP="005B6D2B">
      <w:pPr>
        <w:ind w:left="360"/>
        <w:jc w:val="both"/>
        <w:rPr>
          <w:rFonts w:asciiTheme="minorHAnsi" w:hAnsiTheme="minorHAnsi" w:cstheme="minorHAnsi"/>
          <w:i/>
          <w:iCs/>
          <w:szCs w:val="24"/>
        </w:rPr>
      </w:pPr>
      <w:r w:rsidRPr="00F20A8C">
        <w:rPr>
          <w:rFonts w:asciiTheme="minorHAnsi" w:hAnsiTheme="minorHAnsi" w:cstheme="minorHAnsi"/>
          <w:i/>
          <w:iCs/>
          <w:szCs w:val="24"/>
        </w:rPr>
        <w:t>Gruponi komentet/ propozim</w:t>
      </w:r>
      <w:r w:rsidR="00332DB4" w:rsidRPr="00F20A8C">
        <w:rPr>
          <w:rFonts w:asciiTheme="minorHAnsi" w:hAnsiTheme="minorHAnsi" w:cstheme="minorHAnsi"/>
          <w:i/>
          <w:iCs/>
          <w:szCs w:val="24"/>
        </w:rPr>
        <w:t>e</w:t>
      </w:r>
      <w:r w:rsidRPr="00F20A8C">
        <w:rPr>
          <w:rFonts w:asciiTheme="minorHAnsi" w:hAnsiTheme="minorHAnsi" w:cstheme="minorHAnsi"/>
          <w:i/>
          <w:iCs/>
          <w:szCs w:val="24"/>
        </w:rPr>
        <w:t>t e pranuara sipas çështjes që ato ngritën;</w:t>
      </w:r>
    </w:p>
    <w:p w14:paraId="03DBDFB6" w14:textId="77777777" w:rsidR="005B6D2B" w:rsidRPr="00F20A8C" w:rsidRDefault="005B6D2B" w:rsidP="005B6D2B">
      <w:pPr>
        <w:ind w:left="360"/>
        <w:jc w:val="both"/>
        <w:rPr>
          <w:rFonts w:asciiTheme="minorHAnsi" w:hAnsiTheme="minorHAnsi" w:cstheme="minorHAnsi"/>
          <w:i/>
          <w:iCs/>
          <w:szCs w:val="24"/>
        </w:rPr>
      </w:pPr>
      <w:r w:rsidRPr="00F20A8C">
        <w:rPr>
          <w:rFonts w:asciiTheme="minorHAnsi" w:hAnsiTheme="minorHAnsi" w:cstheme="minorHAnsi"/>
          <w:i/>
          <w:iCs/>
          <w:szCs w:val="24"/>
        </w:rPr>
        <w:t>Gruponi komente të ngjashme së bashku dhe renditni palët e interesuara që i ngritën ato;</w:t>
      </w:r>
    </w:p>
    <w:p w14:paraId="25220E0E" w14:textId="77777777" w:rsidR="005B6D2B" w:rsidRPr="00F20A8C" w:rsidRDefault="005B6D2B" w:rsidP="005B6D2B">
      <w:pPr>
        <w:ind w:left="360"/>
        <w:jc w:val="both"/>
        <w:rPr>
          <w:rFonts w:asciiTheme="minorHAnsi" w:hAnsiTheme="minorHAnsi" w:cstheme="minorHAnsi"/>
          <w:i/>
          <w:iCs/>
          <w:szCs w:val="24"/>
        </w:rPr>
      </w:pPr>
      <w:r w:rsidRPr="00F20A8C">
        <w:rPr>
          <w:rFonts w:asciiTheme="minorHAnsi" w:hAnsiTheme="minorHAnsi" w:cstheme="minorHAnsi"/>
          <w:i/>
          <w:iCs/>
          <w:szCs w:val="24"/>
        </w:rPr>
        <w:t>Shpjegoni cili ishte vendimi i marrë dhe sqaroni shkurtimisht arsyet për të.</w:t>
      </w:r>
    </w:p>
    <w:p w14:paraId="2681E6C2" w14:textId="77777777" w:rsidR="007755F2" w:rsidRPr="00F20A8C" w:rsidRDefault="007755F2" w:rsidP="005B6D2B">
      <w:pPr>
        <w:ind w:left="360"/>
        <w:jc w:val="both"/>
        <w:rPr>
          <w:rFonts w:asciiTheme="minorHAnsi" w:hAnsiTheme="minorHAnsi" w:cstheme="minorHAnsi"/>
          <w:i/>
          <w:i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2862"/>
        <w:gridCol w:w="1528"/>
        <w:gridCol w:w="1172"/>
        <w:gridCol w:w="2610"/>
      </w:tblGrid>
      <w:tr w:rsidR="00A80BE3" w:rsidRPr="00F20A8C" w14:paraId="37794DD1" w14:textId="77777777" w:rsidTr="00A30052">
        <w:tc>
          <w:tcPr>
            <w:tcW w:w="1903" w:type="dxa"/>
            <w:tcBorders>
              <w:top w:val="single" w:sz="4" w:space="0" w:color="auto"/>
              <w:left w:val="single" w:sz="4" w:space="0" w:color="auto"/>
              <w:bottom w:val="single" w:sz="4" w:space="0" w:color="auto"/>
              <w:right w:val="single" w:sz="4" w:space="0" w:color="auto"/>
            </w:tcBorders>
            <w:hideMark/>
          </w:tcPr>
          <w:p w14:paraId="5ECC2918" w14:textId="77777777" w:rsidR="00A80BE3" w:rsidRPr="00F20A8C" w:rsidRDefault="00A80BE3" w:rsidP="00750246">
            <w:pPr>
              <w:pStyle w:val="BodyText"/>
              <w:jc w:val="both"/>
              <w:rPr>
                <w:rFonts w:ascii="Times New Roman" w:hAnsi="Times New Roman"/>
                <w:szCs w:val="22"/>
              </w:rPr>
            </w:pPr>
            <w:r w:rsidRPr="00F20A8C">
              <w:rPr>
                <w:rFonts w:ascii="Times New Roman" w:hAnsi="Times New Roman"/>
                <w:szCs w:val="22"/>
              </w:rPr>
              <w:t>Çështja e  adresuar</w:t>
            </w:r>
          </w:p>
          <w:p w14:paraId="5951712F" w14:textId="77777777" w:rsidR="00A80BE3" w:rsidRPr="00F20A8C" w:rsidRDefault="00A80BE3" w:rsidP="00750246">
            <w:pPr>
              <w:pStyle w:val="BodyText"/>
              <w:jc w:val="both"/>
              <w:rPr>
                <w:rFonts w:ascii="Times New Roman" w:hAnsi="Times New Roman"/>
                <w:i/>
                <w:iCs/>
                <w:szCs w:val="22"/>
              </w:rPr>
            </w:pPr>
            <w:r w:rsidRPr="00F20A8C">
              <w:rPr>
                <w:rFonts w:ascii="Times New Roman" w:hAnsi="Times New Roman"/>
                <w:szCs w:val="22"/>
              </w:rPr>
              <w:t>(</w:t>
            </w:r>
            <w:r w:rsidRPr="00F20A8C">
              <w:rPr>
                <w:rFonts w:ascii="Times New Roman" w:hAnsi="Times New Roman"/>
                <w:i/>
                <w:szCs w:val="22"/>
              </w:rPr>
              <w:t>psh. përkufizimi i ri i…, kushtet për regjistrimin e…, rregullimi i…, etj.)</w:t>
            </w:r>
          </w:p>
        </w:tc>
        <w:tc>
          <w:tcPr>
            <w:tcW w:w="2862" w:type="dxa"/>
            <w:tcBorders>
              <w:top w:val="single" w:sz="4" w:space="0" w:color="auto"/>
              <w:left w:val="single" w:sz="4" w:space="0" w:color="auto"/>
              <w:bottom w:val="single" w:sz="4" w:space="0" w:color="auto"/>
              <w:right w:val="single" w:sz="4" w:space="0" w:color="auto"/>
            </w:tcBorders>
            <w:hideMark/>
          </w:tcPr>
          <w:p w14:paraId="246FEE65" w14:textId="77777777" w:rsidR="00A80BE3" w:rsidRPr="00F20A8C" w:rsidRDefault="00A80BE3" w:rsidP="00750246">
            <w:pPr>
              <w:pStyle w:val="BodyText"/>
              <w:jc w:val="both"/>
              <w:rPr>
                <w:rFonts w:ascii="Times New Roman" w:hAnsi="Times New Roman"/>
                <w:szCs w:val="22"/>
              </w:rPr>
            </w:pPr>
            <w:r w:rsidRPr="00F20A8C">
              <w:rPr>
                <w:rFonts w:ascii="Times New Roman" w:hAnsi="Times New Roman"/>
                <w:szCs w:val="22"/>
              </w:rPr>
              <w:t>Komenti</w:t>
            </w:r>
          </w:p>
          <w:p w14:paraId="751955C1" w14:textId="77777777" w:rsidR="00A80BE3" w:rsidRPr="00F20A8C" w:rsidRDefault="00A80BE3" w:rsidP="00750246">
            <w:pPr>
              <w:pStyle w:val="BodyText"/>
              <w:jc w:val="both"/>
              <w:rPr>
                <w:rFonts w:ascii="Times New Roman" w:hAnsi="Times New Roman"/>
                <w:i/>
                <w:iCs/>
                <w:szCs w:val="22"/>
              </w:rPr>
            </w:pPr>
            <w:r w:rsidRPr="00F20A8C">
              <w:rPr>
                <w:rFonts w:ascii="Times New Roman" w:hAnsi="Times New Roman"/>
                <w:i/>
                <w:iCs/>
                <w:szCs w:val="22"/>
              </w:rPr>
              <w:t xml:space="preserve">(grumbulloni dhe përmblidhni komente identike/të ngjashme nga palët e ndryshme të interesuara së bashku) </w:t>
            </w:r>
          </w:p>
        </w:tc>
        <w:tc>
          <w:tcPr>
            <w:tcW w:w="1528" w:type="dxa"/>
            <w:tcBorders>
              <w:top w:val="single" w:sz="4" w:space="0" w:color="auto"/>
              <w:left w:val="single" w:sz="4" w:space="0" w:color="auto"/>
              <w:bottom w:val="single" w:sz="4" w:space="0" w:color="auto"/>
              <w:right w:val="single" w:sz="4" w:space="0" w:color="auto"/>
            </w:tcBorders>
            <w:hideMark/>
          </w:tcPr>
          <w:p w14:paraId="67FBCEBD" w14:textId="77777777" w:rsidR="00A80BE3" w:rsidRPr="00F20A8C" w:rsidRDefault="00A80BE3" w:rsidP="00750246">
            <w:pPr>
              <w:pStyle w:val="BodyText"/>
              <w:jc w:val="both"/>
              <w:rPr>
                <w:rFonts w:ascii="Times New Roman" w:hAnsi="Times New Roman"/>
                <w:szCs w:val="22"/>
              </w:rPr>
            </w:pPr>
            <w:r w:rsidRPr="00F20A8C">
              <w:rPr>
                <w:rFonts w:ascii="Times New Roman" w:hAnsi="Times New Roman"/>
                <w:szCs w:val="22"/>
              </w:rPr>
              <w:t xml:space="preserve">Palët e interesuara </w:t>
            </w:r>
            <w:r w:rsidRPr="00F20A8C">
              <w:rPr>
                <w:rFonts w:ascii="Times New Roman" w:hAnsi="Times New Roman"/>
                <w:i/>
                <w:iCs/>
                <w:szCs w:val="22"/>
              </w:rPr>
              <w:t>(renditni të gjithë ata që adresuan çështjen në mënyrë të ngjashme)</w:t>
            </w:r>
          </w:p>
        </w:tc>
        <w:tc>
          <w:tcPr>
            <w:tcW w:w="1172" w:type="dxa"/>
            <w:tcBorders>
              <w:top w:val="single" w:sz="4" w:space="0" w:color="auto"/>
              <w:left w:val="single" w:sz="4" w:space="0" w:color="auto"/>
              <w:bottom w:val="single" w:sz="4" w:space="0" w:color="auto"/>
              <w:right w:val="single" w:sz="4" w:space="0" w:color="auto"/>
            </w:tcBorders>
            <w:hideMark/>
          </w:tcPr>
          <w:p w14:paraId="42370BCA" w14:textId="77777777" w:rsidR="00A80BE3" w:rsidRPr="00F20A8C" w:rsidRDefault="00A80BE3" w:rsidP="00750246">
            <w:pPr>
              <w:pStyle w:val="BodyText"/>
              <w:jc w:val="both"/>
              <w:rPr>
                <w:rFonts w:ascii="Times New Roman" w:hAnsi="Times New Roman"/>
                <w:szCs w:val="22"/>
              </w:rPr>
            </w:pPr>
            <w:r w:rsidRPr="00F20A8C">
              <w:rPr>
                <w:rFonts w:ascii="Times New Roman" w:hAnsi="Times New Roman"/>
                <w:szCs w:val="22"/>
              </w:rPr>
              <w:t xml:space="preserve">Vendimi (I pranuar/I pranuar pjesërisht/I refuzuar) </w:t>
            </w:r>
          </w:p>
        </w:tc>
        <w:tc>
          <w:tcPr>
            <w:tcW w:w="2610" w:type="dxa"/>
            <w:tcBorders>
              <w:top w:val="single" w:sz="4" w:space="0" w:color="auto"/>
              <w:left w:val="single" w:sz="4" w:space="0" w:color="auto"/>
              <w:bottom w:val="single" w:sz="4" w:space="0" w:color="auto"/>
              <w:right w:val="single" w:sz="4" w:space="0" w:color="auto"/>
            </w:tcBorders>
            <w:hideMark/>
          </w:tcPr>
          <w:p w14:paraId="54CC2A22" w14:textId="77777777" w:rsidR="00A80BE3" w:rsidRPr="00F20A8C" w:rsidRDefault="00A80BE3" w:rsidP="00750246">
            <w:pPr>
              <w:pStyle w:val="BodyText"/>
              <w:jc w:val="both"/>
              <w:rPr>
                <w:rFonts w:ascii="Times New Roman" w:hAnsi="Times New Roman"/>
                <w:szCs w:val="22"/>
              </w:rPr>
            </w:pPr>
            <w:r w:rsidRPr="00F20A8C">
              <w:rPr>
                <w:rFonts w:ascii="Times New Roman" w:hAnsi="Times New Roman"/>
                <w:szCs w:val="22"/>
              </w:rPr>
              <w:t>Justifikimi</w:t>
            </w:r>
          </w:p>
        </w:tc>
      </w:tr>
      <w:tr w:rsidR="00A80BE3" w:rsidRPr="00F20A8C" w14:paraId="278FBE65" w14:textId="77777777" w:rsidTr="00A30052">
        <w:tc>
          <w:tcPr>
            <w:tcW w:w="1903" w:type="dxa"/>
            <w:tcBorders>
              <w:top w:val="single" w:sz="4" w:space="0" w:color="auto"/>
              <w:left w:val="single" w:sz="4" w:space="0" w:color="auto"/>
              <w:right w:val="single" w:sz="4" w:space="0" w:color="auto"/>
            </w:tcBorders>
          </w:tcPr>
          <w:p w14:paraId="25118150" w14:textId="5C87CBE1" w:rsidR="00A80BE3" w:rsidRPr="00F20A8C" w:rsidRDefault="00A80BE3" w:rsidP="00750246">
            <w:pPr>
              <w:pStyle w:val="BodyText3"/>
              <w:spacing w:after="0"/>
              <w:jc w:val="both"/>
              <w:rPr>
                <w:rFonts w:ascii="Times New Roman" w:hAnsi="Times New Roman"/>
                <w:i/>
                <w:iCs/>
                <w:color w:val="00B0F0"/>
                <w:sz w:val="20"/>
                <w:szCs w:val="20"/>
              </w:rPr>
            </w:pPr>
            <w:r w:rsidRPr="00F20A8C">
              <w:rPr>
                <w:rFonts w:ascii="Times New Roman" w:hAnsi="Times New Roman"/>
                <w:color w:val="00B0F0"/>
                <w:sz w:val="20"/>
                <w:szCs w:val="20"/>
              </w:rPr>
              <w:t xml:space="preserve">Lidhur me kategoritë e subjekteve që mund të  konsiderohen emetues të parasë </w:t>
            </w:r>
            <w:r w:rsidRPr="00F20A8C">
              <w:rPr>
                <w:rFonts w:ascii="Times New Roman" w:hAnsi="Times New Roman"/>
                <w:color w:val="00B0F0"/>
                <w:sz w:val="20"/>
                <w:szCs w:val="20"/>
              </w:rPr>
              <w:lastRenderedPageBreak/>
              <w:t xml:space="preserve">elektronike </w:t>
            </w:r>
            <w:r w:rsidRPr="00F20A8C">
              <w:rPr>
                <w:rFonts w:ascii="Times New Roman" w:hAnsi="Times New Roman"/>
                <w:i/>
                <w:iCs/>
                <w:color w:val="00B0F0"/>
                <w:sz w:val="20"/>
                <w:szCs w:val="20"/>
              </w:rPr>
              <w:t>(Neni, pika 10/1)</w:t>
            </w:r>
          </w:p>
          <w:p w14:paraId="2B9A903D" w14:textId="77777777" w:rsidR="00A80BE3" w:rsidRPr="00F20A8C" w:rsidRDefault="00A80BE3" w:rsidP="00750246">
            <w:pPr>
              <w:pStyle w:val="BodyText3"/>
              <w:spacing w:after="0"/>
              <w:jc w:val="both"/>
              <w:rPr>
                <w:rFonts w:ascii="Times New Roman" w:hAnsi="Times New Roman"/>
                <w:color w:val="00B0F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639C3426" w14:textId="77777777" w:rsidR="00A80BE3" w:rsidRPr="00F20A8C" w:rsidRDefault="00A80BE3" w:rsidP="00750246">
            <w:pPr>
              <w:jc w:val="both"/>
              <w:rPr>
                <w:rFonts w:ascii="Times New Roman" w:hAnsi="Times New Roman"/>
                <w:color w:val="00B0F0"/>
                <w:sz w:val="20"/>
              </w:rPr>
            </w:pPr>
            <w:r w:rsidRPr="00F20A8C">
              <w:rPr>
                <w:rFonts w:ascii="Times New Roman" w:hAnsi="Times New Roman"/>
                <w:color w:val="00B0F0"/>
                <w:sz w:val="20"/>
              </w:rPr>
              <w:lastRenderedPageBreak/>
              <w:t xml:space="preserve">Subjekti vlerëson se neni 5, pika 10/1, zgjeron kategorinë e subjekteve që mund të konsiderohen emetues të parasë elektronike, duke përfshirë edhe </w:t>
            </w:r>
            <w:r w:rsidRPr="00F20A8C">
              <w:rPr>
                <w:rFonts w:ascii="Times New Roman" w:hAnsi="Times New Roman"/>
                <w:color w:val="00B0F0"/>
                <w:sz w:val="20"/>
              </w:rPr>
              <w:lastRenderedPageBreak/>
              <w:t>subjekte që hyjnë në treg përmes përjashtimeve. Subjekti shprehet se kjo mund të lehtësojë hyrjen si IPE në Shqipëri të aktorëve të huaj me procedura më të favorshme krahasuar me institucionet vendase, duke ndikuar në konkurrencë dhe potencialisht në pozicionin e operatorëve lokalë. Në këtë kuadër sugjerohet vendosja e kushteve të barabarta për të gjithë subjektet ose kufizimi i përdorimit të përjashtimeve për aktorët e huaj.</w:t>
            </w:r>
          </w:p>
        </w:tc>
        <w:tc>
          <w:tcPr>
            <w:tcW w:w="1528" w:type="dxa"/>
            <w:tcBorders>
              <w:top w:val="single" w:sz="4" w:space="0" w:color="auto"/>
              <w:left w:val="single" w:sz="4" w:space="0" w:color="auto"/>
              <w:bottom w:val="single" w:sz="4" w:space="0" w:color="auto"/>
              <w:right w:val="single" w:sz="4" w:space="0" w:color="auto"/>
            </w:tcBorders>
          </w:tcPr>
          <w:p w14:paraId="7A897449" w14:textId="77777777" w:rsidR="00A80BE3" w:rsidRPr="00F20A8C" w:rsidRDefault="00A80BE3" w:rsidP="00750246">
            <w:pPr>
              <w:jc w:val="center"/>
              <w:rPr>
                <w:rFonts w:ascii="Times New Roman" w:hAnsi="Times New Roman"/>
                <w:b/>
                <w:bCs/>
                <w:color w:val="00B0F0"/>
                <w:sz w:val="20"/>
              </w:rPr>
            </w:pPr>
            <w:r w:rsidRPr="00F20A8C">
              <w:rPr>
                <w:rFonts w:ascii="Times New Roman" w:hAnsi="Times New Roman"/>
                <w:b/>
                <w:color w:val="00B0F0"/>
                <w:sz w:val="20"/>
              </w:rPr>
              <w:lastRenderedPageBreak/>
              <w:t>IutePay sh.p.k.</w:t>
            </w:r>
          </w:p>
        </w:tc>
        <w:tc>
          <w:tcPr>
            <w:tcW w:w="1172" w:type="dxa"/>
            <w:tcBorders>
              <w:top w:val="single" w:sz="4" w:space="0" w:color="auto"/>
              <w:left w:val="single" w:sz="4" w:space="0" w:color="auto"/>
              <w:bottom w:val="single" w:sz="4" w:space="0" w:color="auto"/>
              <w:right w:val="single" w:sz="4" w:space="0" w:color="auto"/>
            </w:tcBorders>
          </w:tcPr>
          <w:p w14:paraId="063F1699" w14:textId="765CFBD0" w:rsidR="00A80BE3" w:rsidRPr="00F20A8C" w:rsidRDefault="000C6821" w:rsidP="00750246">
            <w:pPr>
              <w:jc w:val="both"/>
              <w:rPr>
                <w:rFonts w:ascii="Times New Roman" w:hAnsi="Times New Roman"/>
                <w:color w:val="00B0F0"/>
                <w:sz w:val="20"/>
              </w:rPr>
            </w:pPr>
            <w:r>
              <w:rPr>
                <w:rFonts w:ascii="Times New Roman" w:hAnsi="Times New Roman"/>
                <w:color w:val="00B0F0"/>
                <w:sz w:val="20"/>
              </w:rPr>
              <w:t>Refuzuar</w:t>
            </w:r>
            <w:r w:rsidR="00ED6185" w:rsidRPr="00F20A8C">
              <w:rPr>
                <w:rFonts w:ascii="Times New Roman" w:hAnsi="Times New Roman"/>
                <w:color w:val="00B0F0"/>
                <w:sz w:val="20"/>
              </w:rPr>
              <w:t xml:space="preserve"> </w:t>
            </w:r>
          </w:p>
        </w:tc>
        <w:tc>
          <w:tcPr>
            <w:tcW w:w="2610" w:type="dxa"/>
            <w:tcBorders>
              <w:top w:val="single" w:sz="4" w:space="0" w:color="auto"/>
              <w:left w:val="single" w:sz="4" w:space="0" w:color="auto"/>
              <w:bottom w:val="single" w:sz="4" w:space="0" w:color="auto"/>
              <w:right w:val="single" w:sz="4" w:space="0" w:color="auto"/>
            </w:tcBorders>
          </w:tcPr>
          <w:p w14:paraId="3D52ABA5" w14:textId="6BF95A3D" w:rsidR="00A80BE3" w:rsidRPr="00F20A8C" w:rsidRDefault="000C6821" w:rsidP="00750246">
            <w:pPr>
              <w:jc w:val="both"/>
              <w:rPr>
                <w:rFonts w:ascii="Times New Roman" w:hAnsi="Times New Roman"/>
                <w:color w:val="00B0F0"/>
                <w:sz w:val="20"/>
              </w:rPr>
            </w:pPr>
            <w:r>
              <w:rPr>
                <w:rFonts w:ascii="Times New Roman" w:hAnsi="Times New Roman"/>
                <w:color w:val="00B0F0"/>
                <w:sz w:val="20"/>
              </w:rPr>
              <w:t>Është</w:t>
            </w:r>
            <w:r w:rsidRPr="00F20A8C">
              <w:rPr>
                <w:rFonts w:ascii="Times New Roman" w:hAnsi="Times New Roman"/>
                <w:color w:val="00B0F0"/>
                <w:sz w:val="20"/>
              </w:rPr>
              <w:t xml:space="preserve"> sqaruar subjekti se parashikimet e nenit 5, pika 10/1 janë në përputhje me Direktivën 2009/110/KE dhe me praktikën e ndjekur në BE.</w:t>
            </w:r>
          </w:p>
        </w:tc>
      </w:tr>
      <w:tr w:rsidR="000C6821" w:rsidRPr="00F20A8C" w14:paraId="5D841D31" w14:textId="77777777" w:rsidTr="00A30052">
        <w:tc>
          <w:tcPr>
            <w:tcW w:w="1903" w:type="dxa"/>
            <w:tcBorders>
              <w:left w:val="single" w:sz="4" w:space="0" w:color="auto"/>
              <w:bottom w:val="single" w:sz="4" w:space="0" w:color="auto"/>
              <w:right w:val="single" w:sz="4" w:space="0" w:color="auto"/>
            </w:tcBorders>
          </w:tcPr>
          <w:p w14:paraId="3DA0E71C" w14:textId="60A554EC" w:rsidR="000C6821" w:rsidRPr="00F20A8C" w:rsidRDefault="000C6821" w:rsidP="000C6821">
            <w:pPr>
              <w:pStyle w:val="BodyText3"/>
              <w:spacing w:after="0"/>
              <w:jc w:val="both"/>
              <w:rPr>
                <w:rFonts w:ascii="Times New Roman" w:eastAsiaTheme="minorEastAsia" w:hAnsi="Times New Roman"/>
                <w:bCs/>
                <w:color w:val="00B0F0"/>
                <w:sz w:val="20"/>
                <w:szCs w:val="20"/>
              </w:rPr>
            </w:pPr>
            <w:r w:rsidRPr="00F20A8C">
              <w:rPr>
                <w:rFonts w:ascii="Times New Roman" w:hAnsi="Times New Roman"/>
                <w:color w:val="00B0F0"/>
                <w:sz w:val="20"/>
                <w:szCs w:val="20"/>
              </w:rPr>
              <w:t>Për detyrimin për të njoftuar Bankën e Shqipërisë për ndryshime të formës ligjore ose emërtimit, dhe miratimin kur ndryshon forma juridike. (</w:t>
            </w:r>
            <w:r w:rsidRPr="00F20A8C">
              <w:rPr>
                <w:rFonts w:ascii="Times New Roman" w:eastAsiaTheme="minorEastAsia" w:hAnsi="Times New Roman"/>
                <w:bCs/>
                <w:i/>
                <w:iCs/>
                <w:color w:val="00B0F0"/>
                <w:sz w:val="20"/>
                <w:szCs w:val="20"/>
              </w:rPr>
              <w:t>Neni 6/1, pika 2)</w:t>
            </w:r>
          </w:p>
          <w:p w14:paraId="60CEF2D0" w14:textId="77777777" w:rsidR="000C6821" w:rsidRPr="00F20A8C" w:rsidRDefault="000C6821" w:rsidP="000C6821">
            <w:pPr>
              <w:pStyle w:val="BodyText3"/>
              <w:spacing w:after="0"/>
              <w:jc w:val="both"/>
              <w:rPr>
                <w:rFonts w:ascii="Times New Roman" w:hAnsi="Times New Roman"/>
                <w:color w:val="00B0F0"/>
                <w:sz w:val="20"/>
                <w:szCs w:val="20"/>
              </w:rPr>
            </w:pPr>
          </w:p>
          <w:p w14:paraId="7E460700" w14:textId="77777777" w:rsidR="000C6821" w:rsidRPr="00F20A8C" w:rsidRDefault="000C6821" w:rsidP="000C6821">
            <w:pPr>
              <w:pStyle w:val="BodyText3"/>
              <w:spacing w:after="0"/>
              <w:jc w:val="both"/>
              <w:rPr>
                <w:rFonts w:ascii="Times New Roman" w:hAnsi="Times New Roman"/>
                <w:color w:val="00B0F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5F878B5A" w14:textId="547C4E97" w:rsidR="000C6821" w:rsidRPr="00F20A8C" w:rsidRDefault="000C6821" w:rsidP="000C6821">
            <w:pPr>
              <w:jc w:val="both"/>
              <w:rPr>
                <w:rFonts w:ascii="Times New Roman" w:hAnsi="Times New Roman"/>
                <w:b/>
                <w:color w:val="00B0F0"/>
                <w:sz w:val="20"/>
              </w:rPr>
            </w:pPr>
            <w:r w:rsidRPr="00F20A8C">
              <w:rPr>
                <w:rFonts w:ascii="Times New Roman" w:hAnsi="Times New Roman"/>
                <w:color w:val="00B0F0"/>
                <w:sz w:val="20"/>
              </w:rPr>
              <w:t xml:space="preserve">Subjekti shprehet se neni 6/1, pika 2, kufizon fleksibilitetin, duke zbehur vlerën e ligjit nëse Banka e Shqipërisë merr kohë të vlefshme edhe për vlerësimin dhe miratimin e emrit të institucionit. </w:t>
            </w:r>
          </w:p>
          <w:p w14:paraId="2561F05B" w14:textId="77777777" w:rsidR="000C6821" w:rsidRPr="00F20A8C" w:rsidRDefault="000C6821" w:rsidP="000C6821">
            <w:pPr>
              <w:jc w:val="both"/>
              <w:rPr>
                <w:rFonts w:ascii="Times New Roman" w:eastAsiaTheme="minorEastAsia" w:hAnsi="Times New Roman"/>
                <w:bCs/>
                <w:color w:val="00B0F0"/>
                <w:sz w:val="20"/>
              </w:rPr>
            </w:pPr>
            <w:r w:rsidRPr="00F20A8C">
              <w:rPr>
                <w:rFonts w:ascii="Times New Roman" w:hAnsi="Times New Roman"/>
                <w:color w:val="00B0F0"/>
                <w:sz w:val="20"/>
              </w:rPr>
              <w:t>Për të shmangur çdo paqartësi në interpretim, sugjerohet që të qartësohet se ndryshimet në formën juridike ose në emërtimin e institucionit i nënshtrohen vetëm detyrimit për njoftim dhe nuk kërkojnë miratim paraprak, përveç rasteve kur këto ndryshime sjellin ndikim material në strukturën e pronësisë ose në profilin e riskut të institucionit.</w:t>
            </w:r>
          </w:p>
        </w:tc>
        <w:tc>
          <w:tcPr>
            <w:tcW w:w="1528" w:type="dxa"/>
            <w:tcBorders>
              <w:top w:val="single" w:sz="4" w:space="0" w:color="auto"/>
              <w:left w:val="single" w:sz="4" w:space="0" w:color="auto"/>
              <w:bottom w:val="single" w:sz="4" w:space="0" w:color="auto"/>
              <w:right w:val="single" w:sz="4" w:space="0" w:color="auto"/>
            </w:tcBorders>
          </w:tcPr>
          <w:p w14:paraId="394E9DEA" w14:textId="77777777" w:rsidR="000C6821" w:rsidRPr="00F20A8C" w:rsidRDefault="000C6821" w:rsidP="000C6821">
            <w:pPr>
              <w:jc w:val="center"/>
              <w:rPr>
                <w:rFonts w:ascii="Times New Roman" w:hAnsi="Times New Roman"/>
                <w:b/>
                <w:color w:val="00B0F0"/>
                <w:sz w:val="20"/>
              </w:rPr>
            </w:pPr>
            <w:r w:rsidRPr="00F20A8C">
              <w:rPr>
                <w:rFonts w:ascii="Times New Roman" w:hAnsi="Times New Roman"/>
                <w:b/>
                <w:color w:val="00B0F0"/>
                <w:sz w:val="20"/>
              </w:rPr>
              <w:t>Happy Pay sh.a.</w:t>
            </w:r>
          </w:p>
          <w:p w14:paraId="180CDF18" w14:textId="77777777" w:rsidR="000C6821" w:rsidRPr="00F20A8C" w:rsidRDefault="000C6821" w:rsidP="000C6821">
            <w:pPr>
              <w:jc w:val="center"/>
              <w:rPr>
                <w:rFonts w:ascii="Times New Roman" w:hAnsi="Times New Roman"/>
                <w:b/>
                <w:color w:val="00B0F0"/>
                <w:sz w:val="20"/>
              </w:rPr>
            </w:pPr>
          </w:p>
        </w:tc>
        <w:tc>
          <w:tcPr>
            <w:tcW w:w="1172" w:type="dxa"/>
            <w:tcBorders>
              <w:top w:val="single" w:sz="4" w:space="0" w:color="auto"/>
              <w:left w:val="single" w:sz="4" w:space="0" w:color="auto"/>
              <w:bottom w:val="single" w:sz="4" w:space="0" w:color="auto"/>
              <w:right w:val="single" w:sz="4" w:space="0" w:color="auto"/>
            </w:tcBorders>
          </w:tcPr>
          <w:p w14:paraId="55F2CAFB" w14:textId="68354F73" w:rsidR="000C6821" w:rsidRDefault="000C6821" w:rsidP="000C6821">
            <w:pPr>
              <w:pStyle w:val="BodyText"/>
              <w:spacing w:after="0"/>
              <w:jc w:val="both"/>
              <w:rPr>
                <w:rFonts w:ascii="Times New Roman" w:hAnsi="Times New Roman"/>
                <w:color w:val="00B0F0"/>
                <w:sz w:val="20"/>
              </w:rPr>
            </w:pPr>
            <w:r w:rsidRPr="00F20A8C">
              <w:rPr>
                <w:rFonts w:ascii="Times New Roman" w:hAnsi="Times New Roman"/>
                <w:color w:val="00B0F0"/>
                <w:sz w:val="20"/>
              </w:rPr>
              <w:t>Pranuar pjesërisht</w:t>
            </w:r>
          </w:p>
          <w:p w14:paraId="798054A5" w14:textId="5D093BFE" w:rsidR="000C6821" w:rsidRPr="00F20A8C" w:rsidRDefault="000C6821" w:rsidP="000C6821">
            <w:pPr>
              <w:pStyle w:val="BodyText"/>
              <w:jc w:val="both"/>
              <w:rPr>
                <w:rFonts w:ascii="Times New Roman" w:hAnsi="Times New Roman"/>
                <w:color w:val="00B0F0"/>
                <w:sz w:val="20"/>
              </w:rPr>
            </w:pPr>
          </w:p>
        </w:tc>
        <w:tc>
          <w:tcPr>
            <w:tcW w:w="2610" w:type="dxa"/>
            <w:tcBorders>
              <w:top w:val="single" w:sz="4" w:space="0" w:color="auto"/>
              <w:left w:val="single" w:sz="4" w:space="0" w:color="auto"/>
              <w:bottom w:val="single" w:sz="4" w:space="0" w:color="auto"/>
              <w:right w:val="single" w:sz="4" w:space="0" w:color="auto"/>
            </w:tcBorders>
          </w:tcPr>
          <w:p w14:paraId="38AE9388" w14:textId="68D74A8C" w:rsidR="000C6821" w:rsidRPr="00F20A8C" w:rsidRDefault="000C6821" w:rsidP="000C6821">
            <w:pPr>
              <w:pStyle w:val="BodyText"/>
              <w:spacing w:after="0"/>
              <w:jc w:val="both"/>
              <w:rPr>
                <w:rFonts w:ascii="Times New Roman" w:hAnsi="Times New Roman"/>
                <w:color w:val="00B0F0"/>
                <w:sz w:val="20"/>
              </w:rPr>
            </w:pPr>
            <w:r>
              <w:rPr>
                <w:rFonts w:ascii="Times New Roman" w:hAnsi="Times New Roman"/>
                <w:color w:val="00B0F0"/>
                <w:sz w:val="20"/>
              </w:rPr>
              <w:t>Bazuar tek</w:t>
            </w:r>
            <w:r w:rsidRPr="00203DE5">
              <w:rPr>
                <w:rFonts w:ascii="Times New Roman" w:hAnsi="Times New Roman"/>
                <w:color w:val="92D050"/>
                <w:sz w:val="20"/>
              </w:rPr>
              <w:t xml:space="preserve"> </w:t>
            </w:r>
            <w:r w:rsidRPr="00F20A8C">
              <w:rPr>
                <w:rFonts w:ascii="Times New Roman" w:hAnsi="Times New Roman"/>
                <w:color w:val="00B0F0"/>
                <w:sz w:val="20"/>
              </w:rPr>
              <w:t xml:space="preserve">sugjerimi, </w:t>
            </w:r>
            <w:r>
              <w:rPr>
                <w:rFonts w:ascii="Times New Roman" w:hAnsi="Times New Roman"/>
                <w:color w:val="00B0F0"/>
                <w:sz w:val="20"/>
              </w:rPr>
              <w:t>është</w:t>
            </w:r>
            <w:r w:rsidRPr="00F20A8C">
              <w:rPr>
                <w:rFonts w:ascii="Times New Roman" w:hAnsi="Times New Roman"/>
                <w:color w:val="00B0F0"/>
                <w:sz w:val="20"/>
              </w:rPr>
              <w:t xml:space="preserve"> rishikuar formulimi</w:t>
            </w:r>
            <w:r>
              <w:rPr>
                <w:rFonts w:ascii="Times New Roman" w:hAnsi="Times New Roman"/>
                <w:color w:val="00B0F0"/>
                <w:sz w:val="20"/>
              </w:rPr>
              <w:t xml:space="preserve"> i</w:t>
            </w:r>
            <w:r w:rsidRPr="00F20A8C">
              <w:rPr>
                <w:rFonts w:ascii="Times New Roman" w:hAnsi="Times New Roman"/>
                <w:color w:val="00B0F0"/>
                <w:sz w:val="20"/>
              </w:rPr>
              <w:t xml:space="preserve"> nenit.</w:t>
            </w:r>
          </w:p>
          <w:p w14:paraId="1C5EA83E" w14:textId="77777777" w:rsidR="000C6821" w:rsidRPr="00F20A8C" w:rsidRDefault="000C6821" w:rsidP="000C6821">
            <w:pPr>
              <w:pStyle w:val="BodyText"/>
              <w:jc w:val="both"/>
              <w:rPr>
                <w:rFonts w:ascii="Times New Roman" w:hAnsi="Times New Roman"/>
                <w:color w:val="00B0F0"/>
                <w:sz w:val="20"/>
              </w:rPr>
            </w:pPr>
            <w:r w:rsidRPr="00F20A8C">
              <w:rPr>
                <w:rFonts w:ascii="Times New Roman" w:hAnsi="Times New Roman"/>
                <w:color w:val="00B0F0"/>
                <w:sz w:val="20"/>
              </w:rPr>
              <w:t xml:space="preserve">Sipas riformulimit, subjektet do të kenë detyrimin për njoftim të Bankës së Shqipërisë, në rastet e ndryshimit të formës ligjore ose emërtimit të institucionit të pagesave/parasë elektronike. Për këtë, Banka e Shqipërisë do të bëjë vlerësimet përkatëse dhe nëse nuk ka kundërshtim, do të reflektojë ndryshimet në regjistrat e subjekteve dhe në licencën e subjektit.  </w:t>
            </w:r>
          </w:p>
          <w:p w14:paraId="76691236" w14:textId="77777777" w:rsidR="000C6821" w:rsidRPr="00F20A8C" w:rsidRDefault="000C6821" w:rsidP="000C6821">
            <w:pPr>
              <w:pStyle w:val="BodyText"/>
              <w:jc w:val="both"/>
              <w:rPr>
                <w:rFonts w:ascii="Times New Roman" w:hAnsi="Times New Roman"/>
                <w:color w:val="00B0F0"/>
                <w:sz w:val="20"/>
              </w:rPr>
            </w:pPr>
            <w:r w:rsidRPr="00F20A8C">
              <w:rPr>
                <w:rFonts w:ascii="Times New Roman" w:hAnsi="Times New Roman"/>
                <w:color w:val="00B0F0"/>
                <w:sz w:val="20"/>
              </w:rPr>
              <w:t>Në rastet e ndryshimit të formës ligjore nga shoqëri aksionare, në shoqëri me përgjegjësi të kufizuar, do të kërkohet miratim nga Banka e Shqipërisë, e cila e bazon vendimin e saj për dhënien ose jo të miratimit, duke konsideruar volumin e veprimtarisë, kompleksitetin ose strukturën e subjektit.</w:t>
            </w:r>
          </w:p>
          <w:p w14:paraId="4B3C25D4" w14:textId="37EC8A98" w:rsidR="000C6821" w:rsidRPr="00F20A8C" w:rsidRDefault="000C6821" w:rsidP="000C6821">
            <w:pPr>
              <w:pStyle w:val="BodyText"/>
              <w:jc w:val="both"/>
              <w:rPr>
                <w:rFonts w:ascii="Times New Roman" w:hAnsi="Times New Roman"/>
                <w:color w:val="00B0F0"/>
                <w:sz w:val="20"/>
              </w:rPr>
            </w:pPr>
            <w:r w:rsidRPr="00F20A8C">
              <w:rPr>
                <w:rFonts w:ascii="Times New Roman" w:hAnsi="Times New Roman"/>
                <w:color w:val="00B0F0"/>
                <w:sz w:val="20"/>
              </w:rPr>
              <w:t>Kjo qasje synon të sigurojë transparencë të plotë mbi formën juridike të subjektit të mbikëqyrur dhe të garantojë ushtrimin efektiv të funksioneve mbikëqyrëse, në përputhje me kërkesat e Direktivës (BE) 2015/2366 (PSD2).</w:t>
            </w:r>
          </w:p>
        </w:tc>
      </w:tr>
      <w:tr w:rsidR="000C6821" w:rsidRPr="00F20A8C" w14:paraId="6876C9D5" w14:textId="77777777" w:rsidTr="00A30052">
        <w:tc>
          <w:tcPr>
            <w:tcW w:w="1903" w:type="dxa"/>
            <w:tcBorders>
              <w:left w:val="single" w:sz="4" w:space="0" w:color="auto"/>
              <w:bottom w:val="single" w:sz="4" w:space="0" w:color="auto"/>
              <w:right w:val="single" w:sz="4" w:space="0" w:color="auto"/>
            </w:tcBorders>
          </w:tcPr>
          <w:p w14:paraId="3060BF36" w14:textId="41B7C7F0" w:rsidR="000C6821" w:rsidRPr="00F20A8C" w:rsidRDefault="000C6821" w:rsidP="000C6821">
            <w:pPr>
              <w:pStyle w:val="BodyText3"/>
              <w:spacing w:after="0"/>
              <w:jc w:val="both"/>
              <w:rPr>
                <w:rFonts w:ascii="Times New Roman" w:hAnsi="Times New Roman"/>
                <w:color w:val="00B0F0"/>
                <w:sz w:val="20"/>
                <w:szCs w:val="20"/>
              </w:rPr>
            </w:pPr>
            <w:r w:rsidRPr="00F20A8C">
              <w:rPr>
                <w:rFonts w:ascii="Times New Roman" w:hAnsi="Times New Roman"/>
                <w:color w:val="00B0F0"/>
                <w:sz w:val="20"/>
                <w:szCs w:val="20"/>
              </w:rPr>
              <w:t xml:space="preserve">Lidhur me të drejtën e Bankës së Shqipërisë që të kërkojë ndryshimin e formës ligjore të subjekteve nga shoqëri me përgjegjësi të </w:t>
            </w:r>
            <w:r w:rsidRPr="00F20A8C">
              <w:rPr>
                <w:rFonts w:ascii="Times New Roman" w:hAnsi="Times New Roman"/>
                <w:color w:val="00B0F0"/>
                <w:sz w:val="20"/>
                <w:szCs w:val="20"/>
              </w:rPr>
              <w:lastRenderedPageBreak/>
              <w:t>kufizuar në shoqëri aksionare. (</w:t>
            </w:r>
            <w:r w:rsidRPr="00F20A8C">
              <w:rPr>
                <w:rFonts w:ascii="Times New Roman" w:eastAsiaTheme="minorEastAsia" w:hAnsi="Times New Roman"/>
                <w:bCs/>
                <w:i/>
                <w:iCs/>
                <w:color w:val="00B0F0"/>
                <w:sz w:val="20"/>
                <w:szCs w:val="20"/>
              </w:rPr>
              <w:t>Neni 6/1, pika 3)</w:t>
            </w:r>
          </w:p>
          <w:p w14:paraId="0A944F5D" w14:textId="77777777" w:rsidR="000C6821" w:rsidRPr="00F20A8C" w:rsidRDefault="000C6821" w:rsidP="000C6821">
            <w:pPr>
              <w:pStyle w:val="BodyText3"/>
              <w:spacing w:after="0"/>
              <w:jc w:val="both"/>
              <w:rPr>
                <w:rFonts w:ascii="Times New Roman" w:hAnsi="Times New Roman"/>
                <w:color w:val="00B0F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76B566F8" w14:textId="77777777" w:rsidR="000C6821" w:rsidRPr="00F20A8C" w:rsidRDefault="000C6821" w:rsidP="000C6821">
            <w:pPr>
              <w:jc w:val="both"/>
              <w:rPr>
                <w:rFonts w:ascii="Times New Roman" w:eastAsiaTheme="minorEastAsia" w:hAnsi="Times New Roman"/>
                <w:bCs/>
                <w:color w:val="00B0F0"/>
                <w:sz w:val="20"/>
              </w:rPr>
            </w:pPr>
            <w:r w:rsidRPr="00F20A8C">
              <w:rPr>
                <w:rFonts w:ascii="Times New Roman" w:hAnsi="Times New Roman"/>
                <w:color w:val="00B0F0"/>
                <w:sz w:val="20"/>
              </w:rPr>
              <w:lastRenderedPageBreak/>
              <w:t xml:space="preserve">Lidhur me nenin 6/1, pika 3, subjekti vlerëson se termat “volum” dhe “kompleksitet” nuk janë të përcaktuar qartë juridikisht. Në këto kushte, subjekti konsideron se do të cenohet siguria juridike dhe liria </w:t>
            </w:r>
            <w:r w:rsidRPr="00F20A8C">
              <w:rPr>
                <w:rFonts w:ascii="Times New Roman" w:hAnsi="Times New Roman"/>
                <w:color w:val="00B0F0"/>
                <w:sz w:val="20"/>
              </w:rPr>
              <w:lastRenderedPageBreak/>
              <w:t>e veprimtarisë ekonomike të subjekteve.</w:t>
            </w:r>
          </w:p>
        </w:tc>
        <w:tc>
          <w:tcPr>
            <w:tcW w:w="1528" w:type="dxa"/>
            <w:tcBorders>
              <w:top w:val="single" w:sz="4" w:space="0" w:color="auto"/>
              <w:left w:val="single" w:sz="4" w:space="0" w:color="auto"/>
              <w:bottom w:val="single" w:sz="4" w:space="0" w:color="auto"/>
              <w:right w:val="single" w:sz="4" w:space="0" w:color="auto"/>
            </w:tcBorders>
          </w:tcPr>
          <w:p w14:paraId="283C1D2C" w14:textId="77777777" w:rsidR="000C6821" w:rsidRPr="00F20A8C" w:rsidRDefault="000C6821" w:rsidP="000C6821">
            <w:pPr>
              <w:jc w:val="center"/>
              <w:rPr>
                <w:rFonts w:ascii="Times New Roman" w:hAnsi="Times New Roman"/>
                <w:b/>
                <w:color w:val="00B0F0"/>
                <w:sz w:val="20"/>
              </w:rPr>
            </w:pPr>
            <w:r w:rsidRPr="00F20A8C">
              <w:rPr>
                <w:rFonts w:ascii="Times New Roman" w:hAnsi="Times New Roman"/>
                <w:b/>
                <w:color w:val="00B0F0"/>
                <w:sz w:val="20"/>
              </w:rPr>
              <w:lastRenderedPageBreak/>
              <w:t>AK Invest sh.a.</w:t>
            </w:r>
          </w:p>
          <w:p w14:paraId="2537FC2D" w14:textId="77777777" w:rsidR="000C6821" w:rsidRPr="00F20A8C" w:rsidRDefault="000C6821" w:rsidP="000C6821">
            <w:pPr>
              <w:jc w:val="center"/>
              <w:rPr>
                <w:rFonts w:ascii="Times New Roman" w:hAnsi="Times New Roman"/>
                <w:b/>
                <w:color w:val="00B0F0"/>
                <w:sz w:val="20"/>
              </w:rPr>
            </w:pPr>
          </w:p>
        </w:tc>
        <w:tc>
          <w:tcPr>
            <w:tcW w:w="1172" w:type="dxa"/>
            <w:tcBorders>
              <w:top w:val="single" w:sz="4" w:space="0" w:color="auto"/>
              <w:left w:val="single" w:sz="4" w:space="0" w:color="auto"/>
              <w:bottom w:val="single" w:sz="4" w:space="0" w:color="auto"/>
              <w:right w:val="single" w:sz="4" w:space="0" w:color="auto"/>
            </w:tcBorders>
          </w:tcPr>
          <w:p w14:paraId="0C24FE7A" w14:textId="6786AE4A" w:rsidR="000C6821" w:rsidRPr="00F20A8C" w:rsidRDefault="000C6821" w:rsidP="000C6821">
            <w:pPr>
              <w:pStyle w:val="BodyText"/>
              <w:spacing w:after="0"/>
              <w:jc w:val="both"/>
              <w:rPr>
                <w:rFonts w:ascii="Times New Roman" w:hAnsi="Times New Roman"/>
                <w:color w:val="00B0F0"/>
                <w:sz w:val="20"/>
              </w:rPr>
            </w:pPr>
            <w:r>
              <w:rPr>
                <w:rFonts w:ascii="Times New Roman" w:hAnsi="Times New Roman"/>
                <w:color w:val="00B0F0"/>
                <w:sz w:val="20"/>
              </w:rPr>
              <w:t>Pranuar</w:t>
            </w:r>
            <w:r w:rsidRPr="00F20A8C">
              <w:rPr>
                <w:rFonts w:ascii="Times New Roman" w:hAnsi="Times New Roman"/>
                <w:color w:val="00B0F0"/>
                <w:sz w:val="20"/>
              </w:rPr>
              <w:t xml:space="preserve">  </w:t>
            </w:r>
          </w:p>
        </w:tc>
        <w:tc>
          <w:tcPr>
            <w:tcW w:w="2610" w:type="dxa"/>
            <w:tcBorders>
              <w:top w:val="single" w:sz="4" w:space="0" w:color="auto"/>
              <w:left w:val="single" w:sz="4" w:space="0" w:color="auto"/>
              <w:bottom w:val="single" w:sz="4" w:space="0" w:color="auto"/>
              <w:right w:val="single" w:sz="4" w:space="0" w:color="auto"/>
            </w:tcBorders>
          </w:tcPr>
          <w:p w14:paraId="21CB6EE4" w14:textId="5F60A4A2" w:rsidR="000C6821" w:rsidRPr="00F20A8C" w:rsidRDefault="00137936" w:rsidP="000C6821">
            <w:pPr>
              <w:jc w:val="both"/>
              <w:rPr>
                <w:rFonts w:ascii="Times New Roman" w:hAnsi="Times New Roman"/>
                <w:i/>
                <w:iCs/>
                <w:color w:val="00B0F0"/>
                <w:sz w:val="20"/>
              </w:rPr>
            </w:pPr>
            <w:r>
              <w:rPr>
                <w:rFonts w:ascii="Times New Roman" w:hAnsi="Times New Roman"/>
                <w:color w:val="00B0F0"/>
                <w:sz w:val="20"/>
              </w:rPr>
              <w:t>Bazuar tek</w:t>
            </w:r>
            <w:r w:rsidR="000C6821" w:rsidRPr="00F20A8C">
              <w:rPr>
                <w:rFonts w:ascii="Times New Roman" w:hAnsi="Times New Roman"/>
                <w:color w:val="00B0F0"/>
                <w:sz w:val="20"/>
              </w:rPr>
              <w:t xml:space="preserve"> sugjerimi</w:t>
            </w:r>
            <w:r w:rsidR="000C6821" w:rsidRPr="00203DE5">
              <w:rPr>
                <w:rFonts w:ascii="Times New Roman" w:hAnsi="Times New Roman"/>
                <w:color w:val="00B050"/>
                <w:sz w:val="20"/>
              </w:rPr>
              <w:t xml:space="preserve"> </w:t>
            </w:r>
            <w:r w:rsidR="000C6821" w:rsidRPr="00F20A8C">
              <w:rPr>
                <w:rFonts w:ascii="Times New Roman" w:hAnsi="Times New Roman"/>
                <w:color w:val="00B0F0"/>
                <w:sz w:val="20"/>
              </w:rPr>
              <w:t xml:space="preserve">është riformuluar pika 3 e nenit, për të siguruar qartësi në interpretim. </w:t>
            </w:r>
          </w:p>
          <w:p w14:paraId="02433C8E" w14:textId="1469DAC0" w:rsidR="000C6821" w:rsidRPr="00F20A8C" w:rsidRDefault="000C6821" w:rsidP="000C6821">
            <w:pPr>
              <w:pStyle w:val="BodyText"/>
              <w:jc w:val="both"/>
              <w:rPr>
                <w:rFonts w:ascii="Times New Roman" w:hAnsi="Times New Roman"/>
                <w:color w:val="00B0F0"/>
                <w:sz w:val="20"/>
              </w:rPr>
            </w:pPr>
            <w:r w:rsidRPr="00F20A8C">
              <w:rPr>
                <w:rFonts w:ascii="Times New Roman" w:hAnsi="Times New Roman"/>
                <w:color w:val="00B0F0"/>
                <w:sz w:val="20"/>
              </w:rPr>
              <w:t xml:space="preserve">Në këtë dispozitë, parashikohet një e drejtë e Bankës së Shqipërisë që sipas vlerësimit rast pas rasti dhe </w:t>
            </w:r>
            <w:r w:rsidRPr="00F20A8C">
              <w:rPr>
                <w:rFonts w:ascii="Times New Roman" w:hAnsi="Times New Roman"/>
                <w:color w:val="00B0F0"/>
                <w:sz w:val="20"/>
              </w:rPr>
              <w:lastRenderedPageBreak/>
              <w:t xml:space="preserve">sipas një akti nënligjor ku mund të përcaktohen edhe disa kritere (volumin e veprimtarisë, kompleksitetin ose strukturën e subjektit), të mund t’iu kërkojë institucioneve të pagesave/parasë elektronike, që të ndryshojnë formën ligjore nga shoqëri me përgjegjësi të kufizuar në shoqëri aksionare.  </w:t>
            </w:r>
          </w:p>
        </w:tc>
      </w:tr>
      <w:tr w:rsidR="00137936" w:rsidRPr="00F20A8C" w14:paraId="0BD0622D" w14:textId="77777777" w:rsidTr="00A30052">
        <w:tc>
          <w:tcPr>
            <w:tcW w:w="1903" w:type="dxa"/>
            <w:tcBorders>
              <w:left w:val="single" w:sz="4" w:space="0" w:color="auto"/>
              <w:bottom w:val="single" w:sz="4" w:space="0" w:color="auto"/>
              <w:right w:val="single" w:sz="4" w:space="0" w:color="auto"/>
            </w:tcBorders>
          </w:tcPr>
          <w:p w14:paraId="210A31FA" w14:textId="767DD6EA" w:rsidR="00137936" w:rsidRPr="00F20A8C" w:rsidRDefault="00137936" w:rsidP="00137936">
            <w:pPr>
              <w:pStyle w:val="BodyText3"/>
              <w:spacing w:after="0"/>
              <w:jc w:val="both"/>
              <w:rPr>
                <w:rFonts w:ascii="Times New Roman" w:eastAsiaTheme="minorEastAsia" w:hAnsi="Times New Roman"/>
                <w:bCs/>
                <w:color w:val="00B0F0"/>
                <w:sz w:val="20"/>
                <w:szCs w:val="20"/>
              </w:rPr>
            </w:pPr>
            <w:r w:rsidRPr="00F20A8C">
              <w:rPr>
                <w:rFonts w:ascii="Times New Roman" w:eastAsiaTheme="minorEastAsia" w:hAnsi="Times New Roman"/>
                <w:bCs/>
                <w:color w:val="00B0F0"/>
                <w:sz w:val="20"/>
                <w:szCs w:val="20"/>
              </w:rPr>
              <w:lastRenderedPageBreak/>
              <w:t xml:space="preserve">Lidhur me mbrojtjen e fondeve të përdoruesve të shërbimeve të pagesave dhe të mbajtësve të parasë elektronike </w:t>
            </w:r>
            <w:r w:rsidRPr="00F20A8C">
              <w:rPr>
                <w:rFonts w:ascii="Times New Roman" w:eastAsiaTheme="minorEastAsia" w:hAnsi="Times New Roman"/>
                <w:bCs/>
                <w:i/>
                <w:iCs/>
                <w:color w:val="00B0F0"/>
                <w:sz w:val="20"/>
                <w:szCs w:val="20"/>
              </w:rPr>
              <w:t>(Neni 12, pika 1)</w:t>
            </w:r>
          </w:p>
          <w:p w14:paraId="1F2C0935" w14:textId="77777777" w:rsidR="00137936" w:rsidRPr="00F20A8C" w:rsidRDefault="00137936" w:rsidP="00137936">
            <w:pPr>
              <w:pStyle w:val="BodyText3"/>
              <w:spacing w:after="0"/>
              <w:jc w:val="both"/>
              <w:rPr>
                <w:rFonts w:ascii="Times New Roman" w:hAnsi="Times New Roman"/>
                <w:color w:val="00B0F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365DAF6A" w14:textId="59625A8D" w:rsidR="00137936" w:rsidRPr="00F20A8C" w:rsidRDefault="00137936" w:rsidP="00137936">
            <w:pPr>
              <w:pStyle w:val="BodyText"/>
              <w:jc w:val="both"/>
              <w:rPr>
                <w:rFonts w:ascii="Times New Roman" w:hAnsi="Times New Roman"/>
                <w:color w:val="00B0F0"/>
                <w:sz w:val="20"/>
              </w:rPr>
            </w:pPr>
            <w:r w:rsidRPr="00F20A8C">
              <w:rPr>
                <w:rFonts w:ascii="Times New Roman" w:hAnsi="Times New Roman"/>
                <w:color w:val="00B0F0"/>
                <w:sz w:val="20"/>
              </w:rPr>
              <w:t>Lidhur me nenin 12, pika 1, subjektet vlerësojnë se referenca “institucion krediti në Republikën e Shqipërisë” krijon një kufizim shtrëngues, duke propozuar rishikimin e formulimit të nenit përkatës, në mënyrë që të jepet mundësia e depozitimit të fondeve edhe në institucione krediti (banka) apo IPE në shtete anëtare të BE-së.</w:t>
            </w:r>
          </w:p>
          <w:p w14:paraId="7BCC2D00" w14:textId="32938591" w:rsidR="00137936" w:rsidRPr="00F20A8C" w:rsidRDefault="00137936" w:rsidP="00137936">
            <w:pPr>
              <w:pStyle w:val="BodyText"/>
              <w:jc w:val="both"/>
              <w:rPr>
                <w:rFonts w:ascii="Times New Roman" w:hAnsi="Times New Roman"/>
                <w:color w:val="00B0F0"/>
                <w:sz w:val="20"/>
              </w:rPr>
            </w:pPr>
          </w:p>
        </w:tc>
        <w:tc>
          <w:tcPr>
            <w:tcW w:w="1528" w:type="dxa"/>
            <w:tcBorders>
              <w:top w:val="single" w:sz="4" w:space="0" w:color="auto"/>
              <w:left w:val="single" w:sz="4" w:space="0" w:color="auto"/>
              <w:bottom w:val="single" w:sz="4" w:space="0" w:color="auto"/>
              <w:right w:val="single" w:sz="4" w:space="0" w:color="auto"/>
            </w:tcBorders>
          </w:tcPr>
          <w:p w14:paraId="62E75395" w14:textId="77777777" w:rsidR="00137936" w:rsidRPr="00F20A8C" w:rsidRDefault="00137936" w:rsidP="00137936">
            <w:pPr>
              <w:jc w:val="center"/>
              <w:rPr>
                <w:rFonts w:ascii="Times New Roman" w:hAnsi="Times New Roman"/>
                <w:b/>
                <w:color w:val="00B0F0"/>
                <w:sz w:val="20"/>
              </w:rPr>
            </w:pPr>
            <w:r w:rsidRPr="00F20A8C">
              <w:rPr>
                <w:rFonts w:ascii="Times New Roman" w:hAnsi="Times New Roman"/>
                <w:b/>
                <w:color w:val="00B0F0"/>
                <w:sz w:val="20"/>
              </w:rPr>
              <w:t>Paysera Albania sh.p.k.</w:t>
            </w:r>
          </w:p>
          <w:p w14:paraId="5F7E5B43" w14:textId="77777777" w:rsidR="00137936" w:rsidRPr="00F20A8C" w:rsidRDefault="00137936" w:rsidP="00137936">
            <w:pPr>
              <w:jc w:val="center"/>
              <w:rPr>
                <w:rFonts w:ascii="Times New Roman" w:hAnsi="Times New Roman"/>
                <w:b/>
                <w:color w:val="00B0F0"/>
                <w:sz w:val="20"/>
              </w:rPr>
            </w:pPr>
          </w:p>
          <w:p w14:paraId="0D7FF4E8" w14:textId="77777777" w:rsidR="00137936" w:rsidRPr="00F20A8C" w:rsidRDefault="00137936" w:rsidP="00137936">
            <w:pPr>
              <w:jc w:val="center"/>
              <w:rPr>
                <w:rFonts w:ascii="Times New Roman" w:hAnsi="Times New Roman"/>
                <w:b/>
                <w:color w:val="00B0F0"/>
                <w:sz w:val="20"/>
              </w:rPr>
            </w:pPr>
            <w:r w:rsidRPr="00F20A8C">
              <w:rPr>
                <w:rFonts w:ascii="Times New Roman" w:hAnsi="Times New Roman"/>
                <w:b/>
                <w:color w:val="00B0F0"/>
                <w:sz w:val="20"/>
              </w:rPr>
              <w:t>IutePay sh.p.k.</w:t>
            </w:r>
          </w:p>
          <w:p w14:paraId="00E31A6A" w14:textId="77777777" w:rsidR="00137936" w:rsidRPr="00F20A8C" w:rsidRDefault="00137936" w:rsidP="00137936">
            <w:pPr>
              <w:jc w:val="center"/>
              <w:rPr>
                <w:rFonts w:ascii="Times New Roman" w:hAnsi="Times New Roman"/>
                <w:b/>
                <w:color w:val="00B0F0"/>
                <w:sz w:val="20"/>
              </w:rPr>
            </w:pPr>
          </w:p>
          <w:p w14:paraId="05D4BE3F" w14:textId="77777777" w:rsidR="00137936" w:rsidRPr="00F20A8C" w:rsidRDefault="00137936" w:rsidP="00137936">
            <w:pPr>
              <w:jc w:val="center"/>
              <w:rPr>
                <w:rFonts w:ascii="Times New Roman" w:hAnsi="Times New Roman"/>
                <w:b/>
                <w:color w:val="00B0F0"/>
                <w:sz w:val="20"/>
              </w:rPr>
            </w:pPr>
            <w:r w:rsidRPr="00F20A8C">
              <w:rPr>
                <w:rFonts w:ascii="Times New Roman" w:hAnsi="Times New Roman"/>
                <w:b/>
                <w:color w:val="00B0F0"/>
                <w:sz w:val="20"/>
              </w:rPr>
              <w:t>Rpay sh.p.k.</w:t>
            </w:r>
          </w:p>
          <w:p w14:paraId="4D931DA0" w14:textId="77777777" w:rsidR="00137936" w:rsidRPr="00F20A8C" w:rsidRDefault="00137936" w:rsidP="00137936">
            <w:pPr>
              <w:jc w:val="center"/>
              <w:rPr>
                <w:rFonts w:ascii="Times New Roman" w:hAnsi="Times New Roman"/>
                <w:b/>
                <w:color w:val="00B0F0"/>
                <w:sz w:val="20"/>
              </w:rPr>
            </w:pPr>
          </w:p>
          <w:p w14:paraId="1FE45972" w14:textId="77777777" w:rsidR="00137936" w:rsidRPr="00F20A8C" w:rsidRDefault="00137936" w:rsidP="00137936">
            <w:pPr>
              <w:jc w:val="center"/>
              <w:rPr>
                <w:rFonts w:ascii="Times New Roman" w:hAnsi="Times New Roman"/>
                <w:b/>
                <w:color w:val="00B0F0"/>
                <w:sz w:val="20"/>
              </w:rPr>
            </w:pPr>
          </w:p>
          <w:p w14:paraId="1648277C" w14:textId="77777777" w:rsidR="00137936" w:rsidRPr="00F20A8C" w:rsidRDefault="00137936" w:rsidP="00137936">
            <w:pPr>
              <w:jc w:val="center"/>
              <w:rPr>
                <w:rFonts w:ascii="Times New Roman" w:hAnsi="Times New Roman"/>
                <w:b/>
                <w:bCs/>
                <w:color w:val="00B0F0"/>
                <w:sz w:val="20"/>
              </w:rPr>
            </w:pPr>
          </w:p>
        </w:tc>
        <w:tc>
          <w:tcPr>
            <w:tcW w:w="1172" w:type="dxa"/>
            <w:tcBorders>
              <w:top w:val="single" w:sz="4" w:space="0" w:color="auto"/>
              <w:left w:val="single" w:sz="4" w:space="0" w:color="auto"/>
              <w:bottom w:val="single" w:sz="4" w:space="0" w:color="auto"/>
              <w:right w:val="single" w:sz="4" w:space="0" w:color="auto"/>
            </w:tcBorders>
          </w:tcPr>
          <w:p w14:paraId="5E70023D" w14:textId="244529FD" w:rsidR="00137936" w:rsidRPr="00F20A8C" w:rsidRDefault="00137936" w:rsidP="00137936">
            <w:pPr>
              <w:pStyle w:val="BodyText"/>
              <w:spacing w:after="0"/>
              <w:jc w:val="both"/>
              <w:rPr>
                <w:rFonts w:ascii="Times New Roman" w:hAnsi="Times New Roman"/>
                <w:color w:val="00B0F0"/>
                <w:sz w:val="20"/>
              </w:rPr>
            </w:pPr>
            <w:r w:rsidRPr="00F20A8C">
              <w:rPr>
                <w:rFonts w:ascii="Times New Roman" w:hAnsi="Times New Roman"/>
                <w:color w:val="00B0F0"/>
                <w:sz w:val="20"/>
              </w:rPr>
              <w:t xml:space="preserve">Pranuar pjesërisht </w:t>
            </w:r>
          </w:p>
        </w:tc>
        <w:tc>
          <w:tcPr>
            <w:tcW w:w="2610" w:type="dxa"/>
            <w:tcBorders>
              <w:top w:val="single" w:sz="4" w:space="0" w:color="auto"/>
              <w:left w:val="single" w:sz="4" w:space="0" w:color="auto"/>
              <w:bottom w:val="single" w:sz="4" w:space="0" w:color="auto"/>
              <w:right w:val="single" w:sz="4" w:space="0" w:color="auto"/>
            </w:tcBorders>
          </w:tcPr>
          <w:p w14:paraId="0EBD0237" w14:textId="54BC365F" w:rsidR="00137936" w:rsidRPr="00F20A8C" w:rsidRDefault="00137936" w:rsidP="00137936">
            <w:pPr>
              <w:pStyle w:val="BodyText"/>
              <w:spacing w:after="0"/>
              <w:jc w:val="both"/>
              <w:rPr>
                <w:rFonts w:ascii="Times New Roman" w:hAnsi="Times New Roman"/>
                <w:color w:val="00B0F0"/>
                <w:sz w:val="20"/>
              </w:rPr>
            </w:pPr>
            <w:r>
              <w:rPr>
                <w:rFonts w:ascii="Times New Roman" w:hAnsi="Times New Roman"/>
                <w:color w:val="00B0F0"/>
                <w:sz w:val="20"/>
              </w:rPr>
              <w:t>Është</w:t>
            </w:r>
            <w:r w:rsidRPr="00F20A8C">
              <w:rPr>
                <w:rFonts w:ascii="Times New Roman" w:hAnsi="Times New Roman"/>
                <w:color w:val="00B0F0"/>
                <w:sz w:val="20"/>
              </w:rPr>
              <w:t xml:space="preserve"> rishikuar përmbajtj</w:t>
            </w:r>
            <w:r>
              <w:rPr>
                <w:rFonts w:ascii="Times New Roman" w:hAnsi="Times New Roman"/>
                <w:color w:val="00B0F0"/>
                <w:sz w:val="20"/>
              </w:rPr>
              <w:t xml:space="preserve">a </w:t>
            </w:r>
            <w:r w:rsidRPr="00F20A8C">
              <w:rPr>
                <w:rFonts w:ascii="Times New Roman" w:hAnsi="Times New Roman"/>
                <w:color w:val="00B0F0"/>
                <w:sz w:val="20"/>
              </w:rPr>
              <w:t xml:space="preserve">e shkronjës “a” të pikës 1 të nenit 12. Nëpërmjet rishikimit parashikohet që kërkesa për mbrojtjen e fondeve në institucione krediti vetëm brenda Republikës së Shqipërisë dhe në Bankën e Shqipërisë (sipas diskrecionit të saj) do të zbatohet deri në momentin e anëtarësimit në Bashkimin Evropian, kur Shqipëria ende nuk është pjesë e tregut të brendshëm të BE-së. Për rrjedhojë, ky rregullim mundëson ushtrimin efektiv të funksioneve mbikëqyrëse, duke qenë se Banka e Shqipërisë nuk është ende pjesë e mekanizmave të përbashkët rregullues dhe mbikëqyrës ndërkufitar të BE-së. </w:t>
            </w:r>
          </w:p>
          <w:p w14:paraId="040AAE88" w14:textId="77777777" w:rsidR="00137936" w:rsidRPr="00F20A8C" w:rsidRDefault="00137936" w:rsidP="00137936">
            <w:pPr>
              <w:jc w:val="both"/>
              <w:rPr>
                <w:rFonts w:ascii="Times New Roman" w:hAnsi="Times New Roman"/>
                <w:color w:val="00B0F0"/>
                <w:sz w:val="20"/>
              </w:rPr>
            </w:pPr>
            <w:r w:rsidRPr="00F20A8C">
              <w:rPr>
                <w:rFonts w:ascii="Times New Roman" w:hAnsi="Times New Roman"/>
                <w:color w:val="00B0F0"/>
                <w:sz w:val="20"/>
              </w:rPr>
              <w:t>Pas anëtarësimit në BE, regjimi i mbrojtjes së fondeve do të mundësojë depozitimin e fondeve në një llogari të veçantë përveçse në institucioni krediti në Republikën e Shqipërisë dhe në Bankën e Shqipërisë, edhe në institucioni krediti në shtete anëtare ose në një bankë qendrore të një shteti anëtar, sipas diskrecionit të asaj banke qendrore.</w:t>
            </w:r>
          </w:p>
          <w:p w14:paraId="0A12BC59" w14:textId="0AF8E695" w:rsidR="00137936" w:rsidRPr="00F20A8C" w:rsidRDefault="00137936" w:rsidP="00A30052">
            <w:pPr>
              <w:jc w:val="both"/>
              <w:rPr>
                <w:rFonts w:ascii="Times New Roman" w:hAnsi="Times New Roman"/>
                <w:color w:val="00B0F0"/>
                <w:sz w:val="20"/>
              </w:rPr>
            </w:pPr>
            <w:r w:rsidRPr="00F20A8C">
              <w:rPr>
                <w:rFonts w:ascii="Times New Roman" w:hAnsi="Times New Roman"/>
                <w:color w:val="00B0F0"/>
                <w:sz w:val="20"/>
              </w:rPr>
              <w:t xml:space="preserve">Janë sqaruar subjektet se sipas legjislacionit të BE-së (PSD2), mbrojtja e fondeve të klientëve mund të kryhet vetëm pranë institucioneve të kreditit (bankave) ose bankave qendrore (sipas diskrecionit të tyre), ndërsa institucionet e parasë elektronike (IPE) nuk kualifikohen si institucione </w:t>
            </w:r>
            <w:r w:rsidRPr="00F20A8C">
              <w:rPr>
                <w:rFonts w:ascii="Times New Roman" w:hAnsi="Times New Roman"/>
                <w:color w:val="00B0F0"/>
                <w:sz w:val="20"/>
              </w:rPr>
              <w:lastRenderedPageBreak/>
              <w:t>krediti ku mund të mbahen fondet për qëllime të mbrojtjes së fondeve.</w:t>
            </w:r>
          </w:p>
        </w:tc>
      </w:tr>
      <w:tr w:rsidR="00137936" w:rsidRPr="00F20A8C" w14:paraId="0F28074A" w14:textId="77777777" w:rsidTr="00A30052">
        <w:tc>
          <w:tcPr>
            <w:tcW w:w="1903" w:type="dxa"/>
            <w:tcBorders>
              <w:left w:val="single" w:sz="4" w:space="0" w:color="auto"/>
              <w:bottom w:val="single" w:sz="4" w:space="0" w:color="auto"/>
              <w:right w:val="single" w:sz="4" w:space="0" w:color="auto"/>
            </w:tcBorders>
          </w:tcPr>
          <w:p w14:paraId="2DDA939E" w14:textId="77777777" w:rsidR="00137936" w:rsidRPr="00F20A8C" w:rsidRDefault="00137936" w:rsidP="00137936">
            <w:pPr>
              <w:pStyle w:val="BodyText3"/>
              <w:spacing w:after="0"/>
              <w:jc w:val="both"/>
              <w:rPr>
                <w:rFonts w:ascii="Times New Roman" w:eastAsiaTheme="minorEastAsia" w:hAnsi="Times New Roman"/>
                <w:bCs/>
                <w:color w:val="00B0F0"/>
                <w:sz w:val="20"/>
                <w:szCs w:val="20"/>
              </w:rPr>
            </w:pPr>
            <w:r w:rsidRPr="00F20A8C">
              <w:rPr>
                <w:rFonts w:ascii="Times New Roman" w:eastAsiaTheme="minorEastAsia" w:hAnsi="Times New Roman"/>
                <w:bCs/>
                <w:color w:val="00B0F0"/>
                <w:sz w:val="20"/>
                <w:szCs w:val="20"/>
              </w:rPr>
              <w:lastRenderedPageBreak/>
              <w:t xml:space="preserve">Lidhur me mbrojtjen e fondeve të përdoruesve të shërbimeve të pagesave dhe të mbajtësve të parasë elektronike </w:t>
            </w:r>
            <w:r w:rsidRPr="00F20A8C">
              <w:rPr>
                <w:rFonts w:ascii="Times New Roman" w:eastAsiaTheme="minorEastAsia" w:hAnsi="Times New Roman"/>
                <w:bCs/>
                <w:i/>
                <w:iCs/>
                <w:color w:val="00B0F0"/>
                <w:sz w:val="20"/>
                <w:szCs w:val="20"/>
              </w:rPr>
              <w:t>(Neni 12, pika 1)</w:t>
            </w:r>
          </w:p>
          <w:p w14:paraId="22F280F4" w14:textId="77777777" w:rsidR="00137936" w:rsidRPr="00F20A8C" w:rsidRDefault="00137936" w:rsidP="00137936">
            <w:pPr>
              <w:pStyle w:val="BodyText3"/>
              <w:spacing w:after="0"/>
              <w:jc w:val="both"/>
              <w:rPr>
                <w:rFonts w:ascii="Times New Roman" w:eastAsiaTheme="minorEastAsia" w:hAnsi="Times New Roman"/>
                <w:bCs/>
                <w:color w:val="00B0F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2DBCD360" w14:textId="2697D3F3" w:rsidR="00137936" w:rsidRPr="00F20A8C" w:rsidRDefault="00137936" w:rsidP="00137936">
            <w:pPr>
              <w:pStyle w:val="BodyText"/>
              <w:jc w:val="both"/>
              <w:rPr>
                <w:rFonts w:ascii="Times New Roman" w:hAnsi="Times New Roman"/>
                <w:color w:val="00B0F0"/>
                <w:sz w:val="20"/>
              </w:rPr>
            </w:pPr>
            <w:r w:rsidRPr="00F20A8C">
              <w:rPr>
                <w:rFonts w:ascii="Times New Roman" w:hAnsi="Times New Roman"/>
                <w:color w:val="00B0F0"/>
                <w:sz w:val="20"/>
              </w:rPr>
              <w:t xml:space="preserve">Subjekti propozon që formulimi </w:t>
            </w:r>
            <w:r w:rsidRPr="00F20A8C">
              <w:rPr>
                <w:rFonts w:ascii="Times New Roman" w:hAnsi="Times New Roman"/>
                <w:i/>
                <w:iCs/>
                <w:color w:val="00B0F0"/>
                <w:sz w:val="20"/>
              </w:rPr>
              <w:t>“sipas diskrecionit të Bankës së Shqipërisë”</w:t>
            </w:r>
            <w:r w:rsidRPr="00F20A8C">
              <w:rPr>
                <w:rFonts w:ascii="Times New Roman" w:hAnsi="Times New Roman"/>
                <w:color w:val="00B0F0"/>
                <w:sz w:val="20"/>
              </w:rPr>
              <w:t xml:space="preserve"> të zëvendësohet me një riformulim për të vendosur kritere të qarta dhe objektive, jo vendimmarrje diskrecionale.</w:t>
            </w:r>
          </w:p>
          <w:p w14:paraId="4C49C2EB" w14:textId="77777777" w:rsidR="00137936" w:rsidRPr="00F20A8C" w:rsidRDefault="00137936" w:rsidP="00137936">
            <w:pPr>
              <w:pStyle w:val="BodyText"/>
              <w:jc w:val="both"/>
              <w:rPr>
                <w:rFonts w:ascii="Times New Roman" w:hAnsi="Times New Roman"/>
                <w:color w:val="00B0F0"/>
                <w:sz w:val="20"/>
              </w:rPr>
            </w:pPr>
          </w:p>
        </w:tc>
        <w:tc>
          <w:tcPr>
            <w:tcW w:w="1528" w:type="dxa"/>
            <w:tcBorders>
              <w:top w:val="single" w:sz="4" w:space="0" w:color="auto"/>
              <w:left w:val="single" w:sz="4" w:space="0" w:color="auto"/>
              <w:bottom w:val="single" w:sz="4" w:space="0" w:color="auto"/>
              <w:right w:val="single" w:sz="4" w:space="0" w:color="auto"/>
            </w:tcBorders>
          </w:tcPr>
          <w:p w14:paraId="2D38AF29" w14:textId="77777777" w:rsidR="00137936" w:rsidRPr="00F20A8C" w:rsidRDefault="00137936" w:rsidP="00137936">
            <w:pPr>
              <w:jc w:val="center"/>
              <w:rPr>
                <w:rFonts w:ascii="Times New Roman" w:hAnsi="Times New Roman"/>
                <w:b/>
                <w:bCs/>
                <w:color w:val="00B0F0"/>
                <w:sz w:val="20"/>
              </w:rPr>
            </w:pPr>
            <w:r w:rsidRPr="00F20A8C">
              <w:rPr>
                <w:rFonts w:ascii="Times New Roman" w:hAnsi="Times New Roman"/>
                <w:b/>
                <w:bCs/>
                <w:color w:val="00B0F0"/>
                <w:sz w:val="20"/>
              </w:rPr>
              <w:t>AK Invest sh.a.</w:t>
            </w:r>
          </w:p>
          <w:p w14:paraId="44C786A4" w14:textId="77777777" w:rsidR="00137936" w:rsidRPr="00F20A8C" w:rsidRDefault="00137936" w:rsidP="00137936">
            <w:pPr>
              <w:jc w:val="center"/>
              <w:rPr>
                <w:rFonts w:ascii="Times New Roman" w:hAnsi="Times New Roman"/>
                <w:b/>
                <w:color w:val="00B0F0"/>
                <w:sz w:val="20"/>
              </w:rPr>
            </w:pPr>
          </w:p>
        </w:tc>
        <w:tc>
          <w:tcPr>
            <w:tcW w:w="1172" w:type="dxa"/>
            <w:tcBorders>
              <w:top w:val="single" w:sz="4" w:space="0" w:color="auto"/>
              <w:left w:val="single" w:sz="4" w:space="0" w:color="auto"/>
              <w:bottom w:val="single" w:sz="4" w:space="0" w:color="auto"/>
              <w:right w:val="single" w:sz="4" w:space="0" w:color="auto"/>
            </w:tcBorders>
          </w:tcPr>
          <w:p w14:paraId="3585102E" w14:textId="040B63E1" w:rsidR="00137936" w:rsidRPr="00F20A8C" w:rsidRDefault="00137936" w:rsidP="00137936">
            <w:pPr>
              <w:pStyle w:val="BodyText"/>
              <w:spacing w:after="0"/>
              <w:jc w:val="both"/>
              <w:rPr>
                <w:rFonts w:ascii="Times New Roman" w:hAnsi="Times New Roman"/>
                <w:color w:val="00B0F0"/>
                <w:sz w:val="20"/>
              </w:rPr>
            </w:pPr>
            <w:r>
              <w:rPr>
                <w:rFonts w:ascii="Times New Roman" w:hAnsi="Times New Roman"/>
                <w:color w:val="00B0F0"/>
                <w:sz w:val="20"/>
              </w:rPr>
              <w:t>Refuzuar</w:t>
            </w:r>
          </w:p>
        </w:tc>
        <w:tc>
          <w:tcPr>
            <w:tcW w:w="2610" w:type="dxa"/>
            <w:tcBorders>
              <w:top w:val="single" w:sz="4" w:space="0" w:color="auto"/>
              <w:left w:val="single" w:sz="4" w:space="0" w:color="auto"/>
              <w:bottom w:val="single" w:sz="4" w:space="0" w:color="auto"/>
              <w:right w:val="single" w:sz="4" w:space="0" w:color="auto"/>
            </w:tcBorders>
          </w:tcPr>
          <w:p w14:paraId="04F9AEF8" w14:textId="77777777" w:rsidR="00137936" w:rsidRPr="00F20A8C" w:rsidRDefault="00137936" w:rsidP="00137936">
            <w:pPr>
              <w:pStyle w:val="BodyText"/>
              <w:spacing w:after="0"/>
              <w:jc w:val="both"/>
              <w:rPr>
                <w:rFonts w:ascii="Times New Roman" w:hAnsi="Times New Roman"/>
                <w:color w:val="00B0F0"/>
                <w:sz w:val="20"/>
              </w:rPr>
            </w:pPr>
            <w:r w:rsidRPr="00F20A8C">
              <w:rPr>
                <w:rFonts w:ascii="Times New Roman" w:hAnsi="Times New Roman"/>
                <w:color w:val="00B0F0"/>
                <w:sz w:val="20"/>
              </w:rPr>
              <w:t>Sugjerimi nuk është reflektuar</w:t>
            </w:r>
            <w:r w:rsidRPr="00203DE5">
              <w:rPr>
                <w:rFonts w:ascii="Times New Roman" w:hAnsi="Times New Roman"/>
                <w:color w:val="EE0000"/>
                <w:sz w:val="20"/>
              </w:rPr>
              <w:t xml:space="preserve"> </w:t>
            </w:r>
            <w:r w:rsidRPr="00F20A8C">
              <w:rPr>
                <w:rFonts w:ascii="Times New Roman" w:hAnsi="Times New Roman"/>
                <w:color w:val="00B0F0"/>
                <w:sz w:val="20"/>
              </w:rPr>
              <w:t xml:space="preserve">në ndryshime të përmbajtjes së projektligjit, pasi lidhur me formulimin </w:t>
            </w:r>
            <w:r w:rsidRPr="00F20A8C">
              <w:rPr>
                <w:rFonts w:ascii="Times New Roman" w:hAnsi="Times New Roman"/>
                <w:i/>
                <w:iCs/>
                <w:color w:val="00B0F0"/>
                <w:sz w:val="20"/>
              </w:rPr>
              <w:t>“sipas diskrecionit të Bankës së Shqipërisë”</w:t>
            </w:r>
            <w:r w:rsidRPr="00F20A8C">
              <w:rPr>
                <w:rFonts w:ascii="Times New Roman" w:hAnsi="Times New Roman"/>
                <w:color w:val="00B0F0"/>
                <w:sz w:val="20"/>
              </w:rPr>
              <w:t>, është sqaruar subjekti se ky parashikim është në përputhje me Direktivën, e cila i njeh bankës qendrore kompetencën për të vendosur mbi pranimin e fondeve për depozitim pranë saj.</w:t>
            </w:r>
          </w:p>
          <w:p w14:paraId="4CCA7CF1" w14:textId="25ED55FC" w:rsidR="00137936" w:rsidRPr="00F20A8C" w:rsidRDefault="00137936" w:rsidP="00A30052">
            <w:pPr>
              <w:jc w:val="both"/>
              <w:rPr>
                <w:rFonts w:ascii="Times New Roman" w:hAnsi="Times New Roman"/>
                <w:color w:val="00B0F0"/>
                <w:sz w:val="20"/>
              </w:rPr>
            </w:pPr>
            <w:r w:rsidRPr="00F20A8C">
              <w:rPr>
                <w:rFonts w:ascii="Times New Roman" w:hAnsi="Times New Roman"/>
                <w:color w:val="00B0F0"/>
                <w:sz w:val="20"/>
              </w:rPr>
              <w:t xml:space="preserve">Neni 10(1)(a) i Direktivës parashikon që fondet mund të depozitohen në një bankë qendrore </w:t>
            </w:r>
            <w:r w:rsidRPr="00F20A8C">
              <w:rPr>
                <w:rFonts w:ascii="Times New Roman" w:hAnsi="Times New Roman"/>
                <w:i/>
                <w:iCs/>
                <w:color w:val="00B0F0"/>
                <w:sz w:val="20"/>
              </w:rPr>
              <w:t>“at the discretion of that central bank”</w:t>
            </w:r>
            <w:r w:rsidRPr="00F20A8C">
              <w:rPr>
                <w:rFonts w:ascii="Times New Roman" w:hAnsi="Times New Roman"/>
                <w:color w:val="00B0F0"/>
                <w:sz w:val="20"/>
              </w:rPr>
              <w:t>. Ky formulim i njeh bankës qendrore kompetencën për të vendosur mbi pranimin e fondeve, në përputhje me funksionet, vlerësimin e rreziqeve dhe politikat e saj.</w:t>
            </w:r>
          </w:p>
        </w:tc>
      </w:tr>
      <w:tr w:rsidR="00137936" w:rsidRPr="00F20A8C" w14:paraId="21F83366" w14:textId="77777777" w:rsidTr="00A30052">
        <w:tc>
          <w:tcPr>
            <w:tcW w:w="1903" w:type="dxa"/>
            <w:tcBorders>
              <w:top w:val="single" w:sz="4" w:space="0" w:color="auto"/>
              <w:left w:val="single" w:sz="4" w:space="0" w:color="auto"/>
              <w:bottom w:val="single" w:sz="4" w:space="0" w:color="auto"/>
              <w:right w:val="single" w:sz="4" w:space="0" w:color="auto"/>
            </w:tcBorders>
          </w:tcPr>
          <w:p w14:paraId="38318E81" w14:textId="77777777" w:rsidR="00137936" w:rsidRPr="00F20A8C" w:rsidRDefault="00137936" w:rsidP="00137936">
            <w:pPr>
              <w:pStyle w:val="BodyText3"/>
              <w:spacing w:after="0" w:line="240" w:lineRule="atLeast"/>
              <w:jc w:val="both"/>
              <w:rPr>
                <w:rFonts w:ascii="Times New Roman" w:eastAsiaTheme="minorEastAsia" w:hAnsi="Times New Roman"/>
                <w:bCs/>
                <w:color w:val="00B0F0"/>
                <w:sz w:val="20"/>
                <w:szCs w:val="20"/>
              </w:rPr>
            </w:pPr>
            <w:r w:rsidRPr="00F20A8C">
              <w:rPr>
                <w:rFonts w:ascii="Times New Roman" w:eastAsiaTheme="minorEastAsia" w:hAnsi="Times New Roman"/>
                <w:bCs/>
                <w:color w:val="00B0F0"/>
                <w:sz w:val="20"/>
                <w:szCs w:val="20"/>
              </w:rPr>
              <w:t>Për përjashtimin e disa ofruesve të shërbimeve të pagesave nga një pjesë e kërkesave ligjore, bazuar në volumin e aktivitetit).</w:t>
            </w:r>
          </w:p>
          <w:p w14:paraId="6034B916" w14:textId="05801BB1" w:rsidR="00137936" w:rsidRPr="00F20A8C" w:rsidRDefault="00137936" w:rsidP="00137936">
            <w:pPr>
              <w:pStyle w:val="BodyText3"/>
              <w:spacing w:after="0" w:line="240" w:lineRule="atLeast"/>
              <w:jc w:val="both"/>
              <w:rPr>
                <w:rFonts w:ascii="Times New Roman" w:eastAsiaTheme="minorEastAsia" w:hAnsi="Times New Roman"/>
                <w:bCs/>
                <w:i/>
                <w:iCs/>
                <w:color w:val="00B0F0"/>
                <w:sz w:val="20"/>
                <w:szCs w:val="20"/>
              </w:rPr>
            </w:pPr>
            <w:r w:rsidRPr="00F20A8C">
              <w:rPr>
                <w:rFonts w:ascii="Times New Roman" w:eastAsiaTheme="minorEastAsia" w:hAnsi="Times New Roman"/>
                <w:bCs/>
                <w:i/>
                <w:iCs/>
                <w:color w:val="00B0F0"/>
                <w:sz w:val="20"/>
                <w:szCs w:val="20"/>
              </w:rPr>
              <w:t>(Neni 27, pika 1)</w:t>
            </w:r>
          </w:p>
          <w:p w14:paraId="61AD731B" w14:textId="77777777" w:rsidR="00137936" w:rsidRPr="00F20A8C" w:rsidRDefault="00137936" w:rsidP="00137936">
            <w:pPr>
              <w:pStyle w:val="BodyText3"/>
              <w:spacing w:after="0"/>
              <w:jc w:val="both"/>
              <w:rPr>
                <w:rFonts w:ascii="Times New Roman" w:eastAsiaTheme="minorEastAsia" w:hAnsi="Times New Roman"/>
                <w:b/>
                <w:color w:val="00B0F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5625C526" w14:textId="77777777" w:rsidR="00137936" w:rsidRPr="00F20A8C" w:rsidRDefault="00137936" w:rsidP="00137936">
            <w:pPr>
              <w:jc w:val="both"/>
              <w:rPr>
                <w:rFonts w:ascii="Times New Roman" w:hAnsi="Times New Roman"/>
                <w:color w:val="00B0F0"/>
                <w:sz w:val="20"/>
              </w:rPr>
            </w:pPr>
            <w:r w:rsidRPr="00F20A8C">
              <w:rPr>
                <w:rFonts w:ascii="Times New Roman" w:hAnsi="Times New Roman"/>
                <w:color w:val="00B0F0"/>
                <w:sz w:val="20"/>
              </w:rPr>
              <w:t>Subjekti, në lidhje me nenin 27, pika 1, shkronja “a”, sugjeron rishikimin e pragut të propozuar prej 3 milionë eurosh, duke e përshtatur atë me specifikat dhe përmasat e tregut shqiptar, në përputhje me parimin e proporcionalitetit.</w:t>
            </w:r>
          </w:p>
          <w:p w14:paraId="020923B1" w14:textId="77777777" w:rsidR="00137936" w:rsidRPr="00F20A8C" w:rsidRDefault="00137936" w:rsidP="00137936">
            <w:pPr>
              <w:jc w:val="both"/>
              <w:rPr>
                <w:rFonts w:ascii="Times New Roman" w:hAnsi="Times New Roman"/>
                <w:color w:val="00B0F0"/>
                <w:sz w:val="20"/>
              </w:rPr>
            </w:pPr>
          </w:p>
        </w:tc>
        <w:tc>
          <w:tcPr>
            <w:tcW w:w="1528" w:type="dxa"/>
            <w:tcBorders>
              <w:top w:val="single" w:sz="4" w:space="0" w:color="auto"/>
              <w:left w:val="single" w:sz="4" w:space="0" w:color="auto"/>
              <w:bottom w:val="single" w:sz="4" w:space="0" w:color="auto"/>
              <w:right w:val="single" w:sz="4" w:space="0" w:color="auto"/>
            </w:tcBorders>
          </w:tcPr>
          <w:p w14:paraId="33AAEB75" w14:textId="77777777" w:rsidR="00137936" w:rsidRPr="00F20A8C" w:rsidRDefault="00137936" w:rsidP="00137936">
            <w:pPr>
              <w:jc w:val="center"/>
              <w:rPr>
                <w:rFonts w:ascii="Times New Roman" w:hAnsi="Times New Roman"/>
                <w:b/>
                <w:color w:val="00B0F0"/>
                <w:sz w:val="20"/>
              </w:rPr>
            </w:pPr>
            <w:r w:rsidRPr="00F20A8C">
              <w:rPr>
                <w:rFonts w:ascii="Times New Roman" w:hAnsi="Times New Roman"/>
                <w:b/>
                <w:color w:val="00B0F0"/>
                <w:sz w:val="20"/>
              </w:rPr>
              <w:t>Happy Pay sh.a.</w:t>
            </w:r>
          </w:p>
        </w:tc>
        <w:tc>
          <w:tcPr>
            <w:tcW w:w="1172" w:type="dxa"/>
            <w:tcBorders>
              <w:top w:val="single" w:sz="4" w:space="0" w:color="auto"/>
              <w:left w:val="single" w:sz="4" w:space="0" w:color="auto"/>
              <w:bottom w:val="single" w:sz="4" w:space="0" w:color="auto"/>
              <w:right w:val="single" w:sz="4" w:space="0" w:color="auto"/>
            </w:tcBorders>
          </w:tcPr>
          <w:p w14:paraId="0CC03CE4" w14:textId="532DEEF6" w:rsidR="00137936" w:rsidRPr="00F20A8C" w:rsidRDefault="00137936" w:rsidP="00137936">
            <w:pPr>
              <w:jc w:val="both"/>
              <w:rPr>
                <w:rFonts w:ascii="Times New Roman" w:hAnsi="Times New Roman"/>
                <w:color w:val="00B0F0"/>
                <w:sz w:val="20"/>
              </w:rPr>
            </w:pPr>
            <w:r>
              <w:rPr>
                <w:rFonts w:ascii="Times New Roman" w:hAnsi="Times New Roman"/>
                <w:color w:val="00B0F0"/>
                <w:sz w:val="20"/>
              </w:rPr>
              <w:t>R</w:t>
            </w:r>
            <w:r w:rsidRPr="00F20A8C">
              <w:rPr>
                <w:rFonts w:ascii="Times New Roman" w:hAnsi="Times New Roman"/>
                <w:color w:val="00B0F0"/>
                <w:sz w:val="20"/>
              </w:rPr>
              <w:t xml:space="preserve">efuzuar </w:t>
            </w:r>
          </w:p>
        </w:tc>
        <w:tc>
          <w:tcPr>
            <w:tcW w:w="2610" w:type="dxa"/>
            <w:tcBorders>
              <w:top w:val="single" w:sz="4" w:space="0" w:color="auto"/>
              <w:left w:val="single" w:sz="4" w:space="0" w:color="auto"/>
              <w:bottom w:val="single" w:sz="4" w:space="0" w:color="auto"/>
              <w:right w:val="single" w:sz="4" w:space="0" w:color="auto"/>
            </w:tcBorders>
          </w:tcPr>
          <w:p w14:paraId="45ECA163" w14:textId="592EF8AD" w:rsidR="00137936" w:rsidRPr="00F20A8C" w:rsidRDefault="00137936" w:rsidP="00137936">
            <w:pPr>
              <w:pStyle w:val="BodyText"/>
              <w:jc w:val="both"/>
              <w:rPr>
                <w:rFonts w:ascii="Times New Roman" w:hAnsi="Times New Roman"/>
                <w:color w:val="00B0F0"/>
                <w:sz w:val="20"/>
              </w:rPr>
            </w:pPr>
            <w:r>
              <w:rPr>
                <w:rFonts w:ascii="Times New Roman" w:hAnsi="Times New Roman"/>
                <w:color w:val="00B0F0"/>
                <w:sz w:val="20"/>
              </w:rPr>
              <w:t>S</w:t>
            </w:r>
            <w:r w:rsidRPr="00F20A8C">
              <w:rPr>
                <w:rFonts w:ascii="Times New Roman" w:hAnsi="Times New Roman"/>
                <w:color w:val="00B0F0"/>
                <w:sz w:val="20"/>
              </w:rPr>
              <w:t>ugjerimi</w:t>
            </w:r>
            <w:r w:rsidRPr="00203DE5">
              <w:rPr>
                <w:rFonts w:ascii="Times New Roman" w:hAnsi="Times New Roman"/>
                <w:color w:val="EE0000"/>
                <w:sz w:val="20"/>
              </w:rPr>
              <w:t xml:space="preserve"> </w:t>
            </w:r>
            <w:r w:rsidRPr="00F20A8C">
              <w:rPr>
                <w:rFonts w:ascii="Times New Roman" w:hAnsi="Times New Roman"/>
                <w:color w:val="00B0F0"/>
                <w:sz w:val="20"/>
              </w:rPr>
              <w:t>për ndryshim të vlerës së parashikuar në ligj</w:t>
            </w:r>
            <w:r>
              <w:rPr>
                <w:rFonts w:ascii="Times New Roman" w:hAnsi="Times New Roman"/>
                <w:color w:val="00B0F0"/>
                <w:sz w:val="20"/>
              </w:rPr>
              <w:t xml:space="preserve"> nuk është pranuar</w:t>
            </w:r>
            <w:r w:rsidRPr="00F20A8C">
              <w:rPr>
                <w:rFonts w:ascii="Times New Roman" w:hAnsi="Times New Roman"/>
                <w:color w:val="00B0F0"/>
                <w:sz w:val="20"/>
              </w:rPr>
              <w:t xml:space="preserve">, duke dhënë sqarimin që pragu i caktuar në ligj është vlera maksimale, e cila është në përputhje të plotë me Direktivën 2015/2366/BE. Por për këtë prag Banka e Shqipërisë mund të caktojë me akt nënligjor një vlerë më të vogël, e drejtë kjo që parashikohet në shkronjën “a” të pikës 1 të nenit 27 të ligjit të ndryshuar. </w:t>
            </w:r>
          </w:p>
        </w:tc>
      </w:tr>
      <w:tr w:rsidR="0071640A" w:rsidRPr="00F20A8C" w14:paraId="11610B05" w14:textId="77777777" w:rsidTr="00A30052">
        <w:tc>
          <w:tcPr>
            <w:tcW w:w="1903" w:type="dxa"/>
            <w:tcBorders>
              <w:top w:val="single" w:sz="4" w:space="0" w:color="auto"/>
              <w:left w:val="single" w:sz="4" w:space="0" w:color="auto"/>
              <w:bottom w:val="single" w:sz="4" w:space="0" w:color="auto"/>
              <w:right w:val="single" w:sz="4" w:space="0" w:color="auto"/>
            </w:tcBorders>
          </w:tcPr>
          <w:p w14:paraId="5BCDB15B" w14:textId="0BC4F5B5" w:rsidR="0071640A" w:rsidRPr="00F20A8C" w:rsidRDefault="0071640A" w:rsidP="0071640A">
            <w:pPr>
              <w:pStyle w:val="BodyText3"/>
              <w:spacing w:after="0" w:line="240" w:lineRule="atLeast"/>
              <w:jc w:val="both"/>
              <w:rPr>
                <w:rFonts w:ascii="Times New Roman" w:hAnsi="Times New Roman"/>
                <w:color w:val="00B0F0"/>
                <w:sz w:val="20"/>
                <w:szCs w:val="20"/>
              </w:rPr>
            </w:pPr>
            <w:r w:rsidRPr="00F20A8C">
              <w:rPr>
                <w:rFonts w:ascii="Times New Roman" w:hAnsi="Times New Roman"/>
                <w:color w:val="00B0F0"/>
                <w:sz w:val="20"/>
                <w:szCs w:val="20"/>
              </w:rPr>
              <w:t>Mbi diskrecionin e Bankës së Shqipërisë për përcaktimin e metodës që institucionet e parasë elektronike duhet të përdorin për mbrojtjen e fondeve.</w:t>
            </w:r>
          </w:p>
          <w:p w14:paraId="7D19EA1D" w14:textId="1B332F75" w:rsidR="0071640A" w:rsidRPr="00F20A8C" w:rsidRDefault="0071640A" w:rsidP="0071640A">
            <w:pPr>
              <w:pStyle w:val="BodyText3"/>
              <w:spacing w:after="0" w:line="240" w:lineRule="atLeast"/>
              <w:jc w:val="both"/>
              <w:rPr>
                <w:rFonts w:ascii="Times New Roman" w:hAnsi="Times New Roman"/>
                <w:color w:val="00B0F0"/>
                <w:sz w:val="20"/>
                <w:szCs w:val="20"/>
              </w:rPr>
            </w:pPr>
            <w:r w:rsidRPr="00F20A8C">
              <w:rPr>
                <w:rFonts w:ascii="Times New Roman" w:hAnsi="Times New Roman"/>
                <w:i/>
                <w:iCs/>
                <w:color w:val="00B0F0"/>
                <w:sz w:val="20"/>
                <w:szCs w:val="20"/>
              </w:rPr>
              <w:t>(Neni 28/5, pika 5)</w:t>
            </w:r>
          </w:p>
          <w:p w14:paraId="6637569D" w14:textId="77777777" w:rsidR="0071640A" w:rsidRPr="00F20A8C" w:rsidRDefault="0071640A" w:rsidP="0071640A">
            <w:pPr>
              <w:pStyle w:val="BodyText3"/>
              <w:spacing w:after="0" w:line="240" w:lineRule="atLeast"/>
              <w:jc w:val="center"/>
              <w:rPr>
                <w:rFonts w:ascii="Times New Roman" w:eastAsiaTheme="minorEastAsia" w:hAnsi="Times New Roman"/>
                <w:b/>
                <w:color w:val="00B0F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282A9449" w14:textId="2E1904AE" w:rsidR="0071640A" w:rsidRPr="00F20A8C" w:rsidRDefault="0071640A" w:rsidP="0071640A">
            <w:pPr>
              <w:jc w:val="both"/>
              <w:rPr>
                <w:rFonts w:ascii="Times New Roman" w:hAnsi="Times New Roman"/>
                <w:color w:val="00B0F0"/>
                <w:sz w:val="20"/>
              </w:rPr>
            </w:pPr>
            <w:r w:rsidRPr="00F20A8C">
              <w:rPr>
                <w:rFonts w:ascii="Times New Roman" w:hAnsi="Times New Roman"/>
                <w:color w:val="00B0F0"/>
                <w:sz w:val="20"/>
              </w:rPr>
              <w:t xml:space="preserve">Subjekti, lidhur me formulimin e pikës 5 të nenit 28/5, shprehet se një autorizim i tillë diskrecional për Bankën e Shqipërisë, që të përcaktojë se cila nga metodat e parashikuara në nenin 12 do të përdoret nga institucionet e parasë elektronike për mbrojtjen e fondeve, nuk gjen korrespondencë të tillë kufizuese në direktivën përkatëse të Bashkimit Evropian. Direktiva u njeh institucioneve dy metoda të lejuara për mbrojtjen e fondeve, pa i atribuuar autoritetit mbikëqyrës kompetencën për të imponuar përdorimin e vetëm njërës prej tyre, në mënyrë selektive. </w:t>
            </w:r>
          </w:p>
          <w:p w14:paraId="1D4835E8" w14:textId="1C1AF4C8" w:rsidR="0071640A" w:rsidRPr="00F20A8C" w:rsidRDefault="0071640A" w:rsidP="0071640A">
            <w:pPr>
              <w:jc w:val="both"/>
              <w:rPr>
                <w:rFonts w:ascii="Times New Roman" w:hAnsi="Times New Roman"/>
                <w:color w:val="00B0F0"/>
                <w:sz w:val="20"/>
              </w:rPr>
            </w:pPr>
            <w:r w:rsidRPr="00F20A8C">
              <w:rPr>
                <w:rFonts w:ascii="Times New Roman" w:hAnsi="Times New Roman"/>
                <w:color w:val="00B0F0"/>
                <w:sz w:val="20"/>
              </w:rPr>
              <w:lastRenderedPageBreak/>
              <w:t>Në këtë kuadër, sugjerohet rishikimi i kësaj pike, në mënyrë që roli i Bankës së Shqipërisë të orientohet drejt përcaktimit të kritereve, standardeve mbikëqyrëse dhe kushteve minimale që duhet të përmbushen nga secila metodë e mbrojtjes së fondeve, pa kufizuar në mënyrë aprioristike zgjedhjen e metodës nga vetë institucionet, në përputhje me frymën dhe dispozitat e direktivës.</w:t>
            </w:r>
          </w:p>
        </w:tc>
        <w:tc>
          <w:tcPr>
            <w:tcW w:w="1528" w:type="dxa"/>
            <w:tcBorders>
              <w:top w:val="single" w:sz="4" w:space="0" w:color="auto"/>
              <w:left w:val="single" w:sz="4" w:space="0" w:color="auto"/>
              <w:bottom w:val="single" w:sz="4" w:space="0" w:color="auto"/>
              <w:right w:val="single" w:sz="4" w:space="0" w:color="auto"/>
            </w:tcBorders>
          </w:tcPr>
          <w:p w14:paraId="7648CC9C" w14:textId="77777777" w:rsidR="0071640A" w:rsidRPr="00F20A8C" w:rsidRDefault="0071640A" w:rsidP="0071640A">
            <w:pPr>
              <w:jc w:val="center"/>
              <w:rPr>
                <w:rFonts w:ascii="Times New Roman" w:hAnsi="Times New Roman"/>
                <w:b/>
                <w:color w:val="00B0F0"/>
                <w:sz w:val="20"/>
              </w:rPr>
            </w:pPr>
            <w:r w:rsidRPr="00F20A8C">
              <w:rPr>
                <w:rFonts w:ascii="Times New Roman" w:hAnsi="Times New Roman"/>
                <w:b/>
                <w:color w:val="00B0F0"/>
                <w:sz w:val="20"/>
              </w:rPr>
              <w:lastRenderedPageBreak/>
              <w:t>Paysera Albania sh.p.k.</w:t>
            </w:r>
          </w:p>
          <w:p w14:paraId="61DE79E0" w14:textId="77777777" w:rsidR="0071640A" w:rsidRPr="00F20A8C" w:rsidRDefault="0071640A" w:rsidP="0071640A">
            <w:pPr>
              <w:jc w:val="center"/>
              <w:rPr>
                <w:rFonts w:ascii="Times New Roman" w:hAnsi="Times New Roman"/>
                <w:b/>
                <w:color w:val="00B0F0"/>
                <w:sz w:val="20"/>
              </w:rPr>
            </w:pPr>
          </w:p>
        </w:tc>
        <w:tc>
          <w:tcPr>
            <w:tcW w:w="1172" w:type="dxa"/>
            <w:tcBorders>
              <w:top w:val="single" w:sz="4" w:space="0" w:color="auto"/>
              <w:left w:val="single" w:sz="4" w:space="0" w:color="auto"/>
              <w:bottom w:val="single" w:sz="4" w:space="0" w:color="auto"/>
              <w:right w:val="single" w:sz="4" w:space="0" w:color="auto"/>
            </w:tcBorders>
          </w:tcPr>
          <w:p w14:paraId="3FD84CFE" w14:textId="436E28FA" w:rsidR="0071640A" w:rsidRPr="00F20A8C" w:rsidRDefault="0071640A" w:rsidP="0071640A">
            <w:pPr>
              <w:pStyle w:val="BodyText"/>
              <w:spacing w:after="0"/>
              <w:jc w:val="both"/>
              <w:rPr>
                <w:rFonts w:ascii="Times New Roman" w:hAnsi="Times New Roman"/>
                <w:color w:val="00B0F0"/>
                <w:sz w:val="20"/>
              </w:rPr>
            </w:pPr>
            <w:r w:rsidRPr="00F20A8C">
              <w:rPr>
                <w:rFonts w:ascii="Times New Roman" w:hAnsi="Times New Roman"/>
                <w:color w:val="00B0F0"/>
                <w:sz w:val="20"/>
              </w:rPr>
              <w:t>Refuzuar</w:t>
            </w:r>
            <w:r w:rsidRPr="00F20A8C" w:rsidDel="0071640A">
              <w:rPr>
                <w:rFonts w:ascii="Times New Roman" w:hAnsi="Times New Roman"/>
                <w:color w:val="00B0F0"/>
                <w:sz w:val="20"/>
              </w:rPr>
              <w:t xml:space="preserve"> </w:t>
            </w:r>
          </w:p>
        </w:tc>
        <w:tc>
          <w:tcPr>
            <w:tcW w:w="2610" w:type="dxa"/>
            <w:tcBorders>
              <w:top w:val="single" w:sz="4" w:space="0" w:color="auto"/>
              <w:left w:val="single" w:sz="4" w:space="0" w:color="auto"/>
              <w:bottom w:val="single" w:sz="4" w:space="0" w:color="auto"/>
              <w:right w:val="single" w:sz="4" w:space="0" w:color="auto"/>
            </w:tcBorders>
          </w:tcPr>
          <w:p w14:paraId="680E8DC1" w14:textId="17C06992" w:rsidR="0071640A" w:rsidRPr="00F20A8C" w:rsidRDefault="0071640A" w:rsidP="0071640A">
            <w:pPr>
              <w:pStyle w:val="BodyText"/>
              <w:jc w:val="both"/>
              <w:rPr>
                <w:rFonts w:ascii="Times New Roman" w:hAnsi="Times New Roman"/>
                <w:color w:val="00B0F0"/>
                <w:sz w:val="20"/>
              </w:rPr>
            </w:pPr>
            <w:r>
              <w:rPr>
                <w:rFonts w:ascii="Times New Roman" w:hAnsi="Times New Roman"/>
                <w:color w:val="00B0F0"/>
                <w:sz w:val="20"/>
              </w:rPr>
              <w:t>S</w:t>
            </w:r>
            <w:r w:rsidRPr="00F20A8C">
              <w:rPr>
                <w:rFonts w:ascii="Times New Roman" w:hAnsi="Times New Roman"/>
                <w:color w:val="00B0F0"/>
                <w:sz w:val="20"/>
              </w:rPr>
              <w:t>ugjerimi</w:t>
            </w:r>
            <w:r>
              <w:rPr>
                <w:rFonts w:ascii="Times New Roman" w:hAnsi="Times New Roman"/>
                <w:color w:val="00B0F0"/>
                <w:sz w:val="20"/>
              </w:rPr>
              <w:t xml:space="preserve"> nuk është pranuar</w:t>
            </w:r>
            <w:r w:rsidRPr="00203DE5">
              <w:rPr>
                <w:rFonts w:ascii="Times New Roman" w:hAnsi="Times New Roman"/>
                <w:color w:val="EE0000"/>
                <w:sz w:val="20"/>
              </w:rPr>
              <w:t xml:space="preserve"> </w:t>
            </w:r>
            <w:r w:rsidRPr="00F20A8C">
              <w:rPr>
                <w:rFonts w:ascii="Times New Roman" w:hAnsi="Times New Roman"/>
                <w:color w:val="00B0F0"/>
                <w:sz w:val="20"/>
              </w:rPr>
              <w:t>dhe sqaruar subjekti se kjo është një e drejtë që i atribuohet Bankës së Shqipërisë (në përputhje edhe me parashikimet e nenit 7(4) të Direktivës 2009/110/KE), që të mund të ndërhyjë në raste të caktuara, duke përcaktuar metodën e mbrojtjes së fondeve.</w:t>
            </w:r>
          </w:p>
        </w:tc>
      </w:tr>
      <w:tr w:rsidR="0071640A" w:rsidRPr="00F20A8C" w14:paraId="67FE4A94" w14:textId="77777777" w:rsidTr="00A30052">
        <w:tc>
          <w:tcPr>
            <w:tcW w:w="1903" w:type="dxa"/>
            <w:tcBorders>
              <w:top w:val="single" w:sz="4" w:space="0" w:color="auto"/>
              <w:left w:val="single" w:sz="4" w:space="0" w:color="auto"/>
              <w:bottom w:val="single" w:sz="4" w:space="0" w:color="auto"/>
              <w:right w:val="single" w:sz="4" w:space="0" w:color="auto"/>
            </w:tcBorders>
          </w:tcPr>
          <w:p w14:paraId="482654BA" w14:textId="15B32ACD" w:rsidR="0071640A" w:rsidRPr="00F20A8C" w:rsidRDefault="0071640A" w:rsidP="0071640A">
            <w:pPr>
              <w:pStyle w:val="BodyText"/>
              <w:spacing w:after="0"/>
              <w:jc w:val="both"/>
              <w:rPr>
                <w:rFonts w:ascii="Times New Roman" w:hAnsi="Times New Roman"/>
                <w:i/>
                <w:iCs/>
                <w:color w:val="00B0F0"/>
                <w:sz w:val="20"/>
              </w:rPr>
            </w:pPr>
            <w:r w:rsidRPr="00F20A8C">
              <w:rPr>
                <w:rFonts w:ascii="Times New Roman" w:hAnsi="Times New Roman"/>
                <w:color w:val="00B0F0"/>
                <w:sz w:val="20"/>
              </w:rPr>
              <w:t xml:space="preserve">Lidhur me përdorimin e togfjalëshit “dhe/ose” </w:t>
            </w:r>
            <w:r w:rsidRPr="00F20A8C">
              <w:rPr>
                <w:rFonts w:ascii="Times New Roman" w:hAnsi="Times New Roman"/>
                <w:i/>
                <w:iCs/>
                <w:color w:val="00B0F0"/>
                <w:sz w:val="20"/>
              </w:rPr>
              <w:t>(Neni 45, shkronja “e”, nënpika “i”)</w:t>
            </w:r>
          </w:p>
          <w:p w14:paraId="018D4AFA" w14:textId="77777777" w:rsidR="0071640A" w:rsidRPr="00F20A8C" w:rsidRDefault="0071640A" w:rsidP="0071640A">
            <w:pPr>
              <w:pStyle w:val="BodyText3"/>
              <w:spacing w:after="0" w:line="240" w:lineRule="atLeast"/>
              <w:jc w:val="both"/>
              <w:rPr>
                <w:rFonts w:ascii="Times New Roman" w:eastAsiaTheme="minorEastAsia" w:hAnsi="Times New Roman"/>
                <w:b/>
                <w:color w:val="00B0F0"/>
                <w:sz w:val="20"/>
                <w:szCs w:val="20"/>
              </w:rPr>
            </w:pPr>
          </w:p>
        </w:tc>
        <w:tc>
          <w:tcPr>
            <w:tcW w:w="2862" w:type="dxa"/>
            <w:tcBorders>
              <w:top w:val="single" w:sz="4" w:space="0" w:color="auto"/>
              <w:left w:val="single" w:sz="4" w:space="0" w:color="auto"/>
              <w:bottom w:val="single" w:sz="4" w:space="0" w:color="auto"/>
              <w:right w:val="single" w:sz="4" w:space="0" w:color="auto"/>
            </w:tcBorders>
          </w:tcPr>
          <w:p w14:paraId="2481FF69" w14:textId="26604F15" w:rsidR="0071640A" w:rsidRPr="00F20A8C" w:rsidRDefault="0071640A" w:rsidP="0071640A">
            <w:pPr>
              <w:jc w:val="both"/>
              <w:rPr>
                <w:rFonts w:ascii="Times New Roman" w:hAnsi="Times New Roman"/>
                <w:b/>
                <w:bCs/>
                <w:color w:val="00B0F0"/>
                <w:sz w:val="20"/>
              </w:rPr>
            </w:pPr>
            <w:r w:rsidRPr="00F20A8C">
              <w:rPr>
                <w:rFonts w:ascii="Times New Roman" w:hAnsi="Times New Roman"/>
                <w:color w:val="00B0F0"/>
                <w:sz w:val="20"/>
              </w:rPr>
              <w:t xml:space="preserve">Formulimi i propozuar </w:t>
            </w:r>
            <w:r w:rsidRPr="00F20A8C">
              <w:rPr>
                <w:rFonts w:ascii="Times New Roman" w:hAnsi="Times New Roman"/>
                <w:i/>
                <w:iCs/>
                <w:color w:val="00B0F0"/>
                <w:sz w:val="20"/>
              </w:rPr>
              <w:t xml:space="preserve">“çdo klauzolë kontraktore që përcakton legjislacionin e zbatueshëm për kontratat tip </w:t>
            </w:r>
            <w:r w:rsidRPr="00F20A8C">
              <w:rPr>
                <w:rFonts w:ascii="Times New Roman" w:hAnsi="Times New Roman"/>
                <w:i/>
                <w:iCs/>
                <w:color w:val="00B0F0"/>
                <w:sz w:val="20"/>
                <w:u w:val="single"/>
              </w:rPr>
              <w:t>dhe/ose</w:t>
            </w:r>
            <w:r w:rsidRPr="00F20A8C">
              <w:rPr>
                <w:rFonts w:ascii="Times New Roman" w:hAnsi="Times New Roman"/>
                <w:i/>
                <w:iCs/>
                <w:color w:val="00B0F0"/>
                <w:sz w:val="20"/>
              </w:rPr>
              <w:t xml:space="preserve"> gjykatën kompetente”</w:t>
            </w:r>
            <w:r w:rsidRPr="00F20A8C">
              <w:rPr>
                <w:rFonts w:ascii="Times New Roman" w:hAnsi="Times New Roman"/>
                <w:color w:val="00B0F0"/>
                <w:sz w:val="20"/>
              </w:rPr>
              <w:t xml:space="preserve"> krijon konfuzion gjatë zbatimit praktik nga ana e bankës, gjatë hartimit të kontratave tip. Togfjalëshi “dhe/ose” nuk përcakton qartë nëse banka duhet të specifikojë vetëm ligjin, vetëm gjykatën, apo të dyja. Të vlerësohet të qartësohet ky riformulim.</w:t>
            </w:r>
          </w:p>
        </w:tc>
        <w:tc>
          <w:tcPr>
            <w:tcW w:w="1528" w:type="dxa"/>
            <w:tcBorders>
              <w:top w:val="single" w:sz="4" w:space="0" w:color="auto"/>
              <w:left w:val="single" w:sz="4" w:space="0" w:color="auto"/>
              <w:bottom w:val="single" w:sz="4" w:space="0" w:color="auto"/>
              <w:right w:val="single" w:sz="4" w:space="0" w:color="auto"/>
            </w:tcBorders>
          </w:tcPr>
          <w:p w14:paraId="2A302787" w14:textId="77777777" w:rsidR="0071640A" w:rsidRPr="00F20A8C" w:rsidRDefault="0071640A" w:rsidP="0071640A">
            <w:pPr>
              <w:pStyle w:val="BodyText"/>
              <w:spacing w:after="0"/>
              <w:jc w:val="center"/>
              <w:rPr>
                <w:rFonts w:ascii="Times New Roman" w:hAnsi="Times New Roman"/>
                <w:b/>
                <w:bCs/>
                <w:color w:val="00B0F0"/>
                <w:sz w:val="20"/>
              </w:rPr>
            </w:pPr>
            <w:r w:rsidRPr="00F20A8C">
              <w:rPr>
                <w:rFonts w:ascii="Times New Roman" w:hAnsi="Times New Roman"/>
                <w:b/>
                <w:bCs/>
                <w:color w:val="00B0F0"/>
                <w:sz w:val="20"/>
              </w:rPr>
              <w:t>Banka Credins sh.a.</w:t>
            </w:r>
          </w:p>
          <w:p w14:paraId="146936DB" w14:textId="77777777" w:rsidR="0071640A" w:rsidRPr="00F20A8C" w:rsidRDefault="0071640A" w:rsidP="0071640A">
            <w:pPr>
              <w:jc w:val="center"/>
              <w:rPr>
                <w:rFonts w:ascii="Times New Roman" w:hAnsi="Times New Roman"/>
                <w:b/>
                <w:color w:val="00B0F0"/>
                <w:sz w:val="20"/>
              </w:rPr>
            </w:pPr>
          </w:p>
        </w:tc>
        <w:tc>
          <w:tcPr>
            <w:tcW w:w="1172" w:type="dxa"/>
            <w:tcBorders>
              <w:top w:val="single" w:sz="4" w:space="0" w:color="auto"/>
              <w:left w:val="single" w:sz="4" w:space="0" w:color="auto"/>
              <w:bottom w:val="single" w:sz="4" w:space="0" w:color="auto"/>
              <w:right w:val="single" w:sz="4" w:space="0" w:color="auto"/>
            </w:tcBorders>
          </w:tcPr>
          <w:p w14:paraId="236A325C" w14:textId="39907815" w:rsidR="0071640A" w:rsidRPr="00F20A8C" w:rsidRDefault="0071640A" w:rsidP="0071640A">
            <w:pPr>
              <w:jc w:val="both"/>
              <w:rPr>
                <w:rFonts w:ascii="Times New Roman" w:hAnsi="Times New Roman"/>
                <w:color w:val="00B0F0"/>
                <w:sz w:val="20"/>
              </w:rPr>
            </w:pPr>
            <w:r w:rsidRPr="00F20A8C">
              <w:rPr>
                <w:rFonts w:ascii="Times New Roman" w:hAnsi="Times New Roman"/>
                <w:color w:val="00B0F0"/>
                <w:sz w:val="20"/>
              </w:rPr>
              <w:t xml:space="preserve">Pranuar </w:t>
            </w:r>
          </w:p>
        </w:tc>
        <w:tc>
          <w:tcPr>
            <w:tcW w:w="2610" w:type="dxa"/>
            <w:tcBorders>
              <w:top w:val="single" w:sz="4" w:space="0" w:color="auto"/>
              <w:left w:val="single" w:sz="4" w:space="0" w:color="auto"/>
              <w:bottom w:val="single" w:sz="4" w:space="0" w:color="auto"/>
              <w:right w:val="single" w:sz="4" w:space="0" w:color="auto"/>
            </w:tcBorders>
          </w:tcPr>
          <w:p w14:paraId="3C1AB77F" w14:textId="07F54A9A" w:rsidR="0071640A" w:rsidRPr="00F20A8C" w:rsidRDefault="00552C81" w:rsidP="0071640A">
            <w:pPr>
              <w:pStyle w:val="BodyText"/>
              <w:jc w:val="both"/>
              <w:rPr>
                <w:rFonts w:ascii="Times New Roman" w:hAnsi="Times New Roman"/>
                <w:color w:val="00B0F0"/>
                <w:sz w:val="20"/>
              </w:rPr>
            </w:pPr>
            <w:r>
              <w:rPr>
                <w:rFonts w:ascii="Times New Roman" w:hAnsi="Times New Roman"/>
                <w:color w:val="00B0F0"/>
                <w:sz w:val="20"/>
              </w:rPr>
              <w:t xml:space="preserve">Bazuar në </w:t>
            </w:r>
            <w:r w:rsidRPr="00F20A8C">
              <w:rPr>
                <w:rFonts w:ascii="Times New Roman" w:hAnsi="Times New Roman"/>
                <w:color w:val="00B0F0"/>
                <w:sz w:val="20"/>
              </w:rPr>
              <w:t>sugjerimi</w:t>
            </w:r>
            <w:r>
              <w:rPr>
                <w:rFonts w:ascii="Times New Roman" w:hAnsi="Times New Roman"/>
                <w:color w:val="00B0F0"/>
                <w:sz w:val="20"/>
              </w:rPr>
              <w:t xml:space="preserve">n e subjektit është </w:t>
            </w:r>
            <w:r w:rsidRPr="00F20A8C">
              <w:rPr>
                <w:rFonts w:ascii="Times New Roman" w:hAnsi="Times New Roman"/>
                <w:color w:val="00B0F0"/>
                <w:sz w:val="20"/>
              </w:rPr>
              <w:t>rishikuar formulimi në përputhje me sugjerimin e subjektit, duke eliminuar fjalën “/ose”.</w:t>
            </w:r>
          </w:p>
        </w:tc>
      </w:tr>
    </w:tbl>
    <w:p w14:paraId="2A542F9D" w14:textId="77777777" w:rsidR="005B6D2B" w:rsidRPr="00A30052" w:rsidRDefault="005B6D2B">
      <w:pPr>
        <w:rPr>
          <w:rFonts w:asciiTheme="minorHAnsi" w:hAnsiTheme="minorHAnsi"/>
          <w:color w:val="00B0F0"/>
          <w:szCs w:val="24"/>
        </w:rPr>
      </w:pPr>
    </w:p>
    <w:p w14:paraId="248A5860" w14:textId="0D074561" w:rsidR="00F20A8C" w:rsidRPr="00A30052" w:rsidRDefault="00F20A8C" w:rsidP="00F20A8C">
      <w:pPr>
        <w:jc w:val="both"/>
        <w:rPr>
          <w:rFonts w:ascii="Times New Roman" w:hAnsi="Times New Roman"/>
          <w:color w:val="00B0F0"/>
          <w:sz w:val="24"/>
          <w:szCs w:val="24"/>
        </w:rPr>
      </w:pPr>
      <w:r w:rsidRPr="00A30052">
        <w:rPr>
          <w:rFonts w:ascii="Times New Roman" w:hAnsi="Times New Roman"/>
          <w:color w:val="00B0F0"/>
          <w:sz w:val="24"/>
          <w:szCs w:val="24"/>
        </w:rPr>
        <w:t>Më poshtë paraqitet një përmbledhje e komenteve kryesore të subjekteve, të klasifikuara sipas tipologjisë së tyre, së bashku me sqarimet përkatëse</w:t>
      </w:r>
      <w:r w:rsidR="00E31BA8" w:rsidRPr="00A30052">
        <w:rPr>
          <w:rFonts w:ascii="Times New Roman" w:hAnsi="Times New Roman"/>
          <w:color w:val="00B0F0"/>
          <w:sz w:val="24"/>
          <w:szCs w:val="24"/>
        </w:rPr>
        <w:t xml:space="preserve"> për çështjet kryesore</w:t>
      </w:r>
      <w:r w:rsidRPr="00A30052">
        <w:rPr>
          <w:rFonts w:ascii="Times New Roman" w:hAnsi="Times New Roman"/>
          <w:color w:val="00B0F0"/>
          <w:sz w:val="24"/>
          <w:szCs w:val="24"/>
        </w:rPr>
        <w:t>.</w:t>
      </w:r>
    </w:p>
    <w:p w14:paraId="2FF71A93" w14:textId="77777777" w:rsidR="00173E7D" w:rsidRPr="00A30052" w:rsidRDefault="00173E7D" w:rsidP="00E31BA8">
      <w:pPr>
        <w:jc w:val="both"/>
        <w:rPr>
          <w:rFonts w:ascii="Times New Roman" w:hAnsi="Times New Roman"/>
          <w:color w:val="00B0F0"/>
          <w:sz w:val="24"/>
          <w:szCs w:val="24"/>
        </w:rPr>
      </w:pPr>
    </w:p>
    <w:p w14:paraId="7A18EC68" w14:textId="77777777" w:rsidR="00173E7D" w:rsidRPr="00A30052" w:rsidRDefault="00173E7D" w:rsidP="00E31BA8">
      <w:pPr>
        <w:jc w:val="both"/>
        <w:rPr>
          <w:rFonts w:ascii="Times New Roman" w:hAnsi="Times New Roman"/>
          <w:b/>
          <w:bCs/>
          <w:color w:val="00B0F0"/>
          <w:sz w:val="24"/>
          <w:szCs w:val="24"/>
        </w:rPr>
      </w:pPr>
      <w:r w:rsidRPr="00A30052">
        <w:rPr>
          <w:rFonts w:ascii="Times New Roman" w:hAnsi="Times New Roman"/>
          <w:b/>
          <w:bCs/>
          <w:color w:val="00B0F0"/>
          <w:sz w:val="24"/>
          <w:szCs w:val="24"/>
        </w:rPr>
        <w:t>1. Licencimi, forma juridike dhe kapitali fillestar</w:t>
      </w:r>
    </w:p>
    <w:p w14:paraId="0B9C9592" w14:textId="555584FE" w:rsidR="00173E7D" w:rsidRPr="00A30052" w:rsidRDefault="00173E7D" w:rsidP="00E31BA8">
      <w:pPr>
        <w:jc w:val="both"/>
        <w:rPr>
          <w:rFonts w:ascii="Times New Roman" w:hAnsi="Times New Roman"/>
          <w:color w:val="00B0F0"/>
          <w:sz w:val="24"/>
          <w:szCs w:val="24"/>
        </w:rPr>
      </w:pPr>
      <w:r w:rsidRPr="00A30052">
        <w:rPr>
          <w:rFonts w:ascii="Times New Roman" w:hAnsi="Times New Roman"/>
          <w:color w:val="00B0F0"/>
          <w:sz w:val="24"/>
          <w:szCs w:val="24"/>
        </w:rPr>
        <w:t xml:space="preserve">Subjektet </w:t>
      </w:r>
      <w:r w:rsidR="00F83B58" w:rsidRPr="00A30052">
        <w:rPr>
          <w:rFonts w:ascii="Times New Roman" w:hAnsi="Times New Roman"/>
          <w:color w:val="00B0F0"/>
          <w:sz w:val="24"/>
          <w:szCs w:val="24"/>
        </w:rPr>
        <w:t xml:space="preserve">Happy Pay sh.a., </w:t>
      </w:r>
      <w:r w:rsidR="001B4CF8" w:rsidRPr="00A30052">
        <w:rPr>
          <w:rFonts w:ascii="Times New Roman" w:hAnsi="Times New Roman"/>
          <w:color w:val="00B0F0"/>
          <w:sz w:val="24"/>
          <w:szCs w:val="24"/>
        </w:rPr>
        <w:t xml:space="preserve">AK Invest sh.a., IutePay sh.p.k., </w:t>
      </w:r>
      <w:r w:rsidRPr="00A30052">
        <w:rPr>
          <w:rFonts w:ascii="Times New Roman" w:hAnsi="Times New Roman"/>
          <w:color w:val="00B0F0"/>
          <w:sz w:val="24"/>
          <w:szCs w:val="24"/>
        </w:rPr>
        <w:t xml:space="preserve">sugjeruan zbatimin proporcional të kërkesave për institucionet e parasë elektronike (IPE) dhe institucionet e pagesave (IP), si dhe parashikimin e niveleve të kapitalit fillestar, drejtpërdrejt në ligj. Banka e Shqipërisë i ka sqaruar subjektet se kërkesat zbatohen njëlloj për të gjithë subjektet, me përjashtim të atyre që plotësojnë kushtet specifike të krerëve përkatës për të përfituar nga përjashtimet. Gjithashtu, subjektet u sqaruan se nivelet e kapitalit fillestar që do të vijojnë të jenë të zbatueshme deri në anëtarësimin e Shqipërisë në Bashkimin Evropian janë të parashikuara në rregulloren 59/2021“Për licencimin e institucioneve të pagesave dhe institucioneve të parasë elektronike, si dhe për regjistrimin e ofruesve të shërbimeve të pagesave”. Kur Shqipëria të jetë shtet anëtar, për t’u licencuar nga Banka e Shqipërisë, subjekti do të plotësojë nivelet e parashikuara në ligj. </w:t>
      </w:r>
    </w:p>
    <w:p w14:paraId="1122AAA7" w14:textId="77777777" w:rsidR="00173E7D" w:rsidRPr="00A30052" w:rsidRDefault="00173E7D" w:rsidP="00E31BA8">
      <w:pPr>
        <w:jc w:val="both"/>
        <w:rPr>
          <w:rFonts w:ascii="Times New Roman" w:hAnsi="Times New Roman"/>
          <w:color w:val="00B0F0"/>
          <w:sz w:val="24"/>
          <w:szCs w:val="24"/>
        </w:rPr>
      </w:pPr>
      <w:r w:rsidRPr="00A30052">
        <w:rPr>
          <w:rFonts w:ascii="Times New Roman" w:hAnsi="Times New Roman"/>
          <w:color w:val="00B0F0"/>
          <w:sz w:val="24"/>
          <w:szCs w:val="24"/>
        </w:rPr>
        <w:t>Subjektet sugjeruan që ndryshimet në formën juridike ose në emërtimin e institucionit t’i nënshtrohen vetëm detyrimit për njoftim dhe të mos kërkojnë miratim paraprak, përveç rasteve kur këto ndryshime sjellin ndikim material në strukturën e pronësisë ose në profilin e riskut të institucionit. Lidhur me këtë koment, sugjerimi u pranua pjesërisht, duke rishikuar dispozitën përkatëse që ndryshimet e emrit/formës do të kërkojnë njoftim, por ndryshimi i formës juridike nga sh.p.k. në sh.a. do të kërkojë miratimin e Bankës së Shqipërisë, e cila do ta bazojë vendimin e saj për dhënien ose jo të miratimit, duke konsideruar volumin e veprimtarisë, kompleksitetin ose strukturën e subjektit.</w:t>
      </w:r>
    </w:p>
    <w:p w14:paraId="79F98D60" w14:textId="77777777" w:rsidR="00173E7D" w:rsidRPr="00A30052" w:rsidRDefault="00173E7D" w:rsidP="00E31BA8">
      <w:pPr>
        <w:jc w:val="both"/>
        <w:rPr>
          <w:rFonts w:ascii="Times New Roman" w:hAnsi="Times New Roman"/>
          <w:color w:val="00B0F0"/>
          <w:sz w:val="24"/>
          <w:szCs w:val="24"/>
        </w:rPr>
      </w:pPr>
    </w:p>
    <w:p w14:paraId="75B18B5E" w14:textId="77777777" w:rsidR="00173E7D" w:rsidRPr="00A30052" w:rsidRDefault="00173E7D" w:rsidP="00E31BA8">
      <w:pPr>
        <w:jc w:val="both"/>
        <w:rPr>
          <w:rFonts w:ascii="Times New Roman" w:hAnsi="Times New Roman"/>
          <w:b/>
          <w:bCs/>
          <w:color w:val="00B0F0"/>
          <w:sz w:val="24"/>
          <w:szCs w:val="24"/>
        </w:rPr>
      </w:pPr>
      <w:r w:rsidRPr="00A30052">
        <w:rPr>
          <w:rFonts w:ascii="Times New Roman" w:hAnsi="Times New Roman"/>
          <w:b/>
          <w:bCs/>
          <w:color w:val="00B0F0"/>
          <w:sz w:val="24"/>
          <w:szCs w:val="24"/>
        </w:rPr>
        <w:t>2. Veprimtaria ndërkufitare (passporting) dhe ndarja e kompetencave mbikëqyrëse</w:t>
      </w:r>
    </w:p>
    <w:p w14:paraId="26189F09" w14:textId="2FC5C118" w:rsidR="00173E7D" w:rsidRPr="00A30052" w:rsidRDefault="00F83B58" w:rsidP="00E31BA8">
      <w:pPr>
        <w:pStyle w:val="BodyText"/>
        <w:spacing w:after="0"/>
        <w:jc w:val="both"/>
        <w:rPr>
          <w:rFonts w:ascii="Times New Roman" w:hAnsi="Times New Roman"/>
          <w:color w:val="00B0F0"/>
          <w:sz w:val="24"/>
          <w:szCs w:val="24"/>
        </w:rPr>
      </w:pPr>
      <w:r w:rsidRPr="00A30052">
        <w:rPr>
          <w:rFonts w:ascii="Times New Roman" w:hAnsi="Times New Roman"/>
          <w:color w:val="00B0F0"/>
          <w:sz w:val="24"/>
          <w:szCs w:val="24"/>
        </w:rPr>
        <w:t>S</w:t>
      </w:r>
      <w:r w:rsidR="00173E7D" w:rsidRPr="00A30052">
        <w:rPr>
          <w:rFonts w:ascii="Times New Roman" w:hAnsi="Times New Roman"/>
          <w:color w:val="00B0F0"/>
          <w:sz w:val="24"/>
          <w:szCs w:val="24"/>
        </w:rPr>
        <w:t>ubjekte</w:t>
      </w:r>
      <w:r w:rsidRPr="00A30052">
        <w:rPr>
          <w:rFonts w:ascii="Times New Roman" w:hAnsi="Times New Roman"/>
          <w:color w:val="00B0F0"/>
          <w:sz w:val="24"/>
          <w:szCs w:val="24"/>
        </w:rPr>
        <w:t>t</w:t>
      </w:r>
      <w:r w:rsidR="00173E7D" w:rsidRPr="00A30052">
        <w:rPr>
          <w:rFonts w:ascii="Times New Roman" w:hAnsi="Times New Roman"/>
          <w:color w:val="00B0F0"/>
          <w:sz w:val="24"/>
          <w:szCs w:val="24"/>
        </w:rPr>
        <w:t xml:space="preserve"> </w:t>
      </w:r>
      <w:r w:rsidRPr="00A30052">
        <w:rPr>
          <w:rFonts w:ascii="Times New Roman" w:hAnsi="Times New Roman"/>
          <w:color w:val="00B0F0"/>
          <w:sz w:val="24"/>
          <w:szCs w:val="24"/>
        </w:rPr>
        <w:t xml:space="preserve">AK Invest sh.a., Happy Pay sh.a., Banka ProCredit sh.a., </w:t>
      </w:r>
      <w:r w:rsidR="003B496F" w:rsidRPr="00A30052">
        <w:rPr>
          <w:rFonts w:ascii="Times New Roman" w:hAnsi="Times New Roman"/>
          <w:color w:val="00B0F0"/>
          <w:sz w:val="24"/>
          <w:szCs w:val="24"/>
        </w:rPr>
        <w:t xml:space="preserve">BKT Pay sh.a., IutePay sh.p.k., </w:t>
      </w:r>
      <w:r w:rsidR="00173E7D" w:rsidRPr="00A30052">
        <w:rPr>
          <w:rFonts w:ascii="Times New Roman" w:hAnsi="Times New Roman"/>
          <w:color w:val="00B0F0"/>
          <w:sz w:val="24"/>
          <w:szCs w:val="24"/>
        </w:rPr>
        <w:t xml:space="preserve">shprehën paqartësi mbi regjimin e </w:t>
      </w:r>
      <w:r w:rsidR="00611946" w:rsidRPr="00A30052">
        <w:rPr>
          <w:rFonts w:ascii="Times New Roman" w:hAnsi="Times New Roman"/>
          <w:color w:val="00B0F0"/>
          <w:sz w:val="24"/>
          <w:szCs w:val="24"/>
        </w:rPr>
        <w:t>“</w:t>
      </w:r>
      <w:r w:rsidR="00173E7D" w:rsidRPr="00A30052">
        <w:rPr>
          <w:rFonts w:ascii="Times New Roman" w:hAnsi="Times New Roman"/>
          <w:i/>
          <w:iCs/>
          <w:color w:val="00B0F0"/>
          <w:sz w:val="24"/>
          <w:szCs w:val="24"/>
        </w:rPr>
        <w:t>passporting</w:t>
      </w:r>
      <w:r w:rsidR="00611946" w:rsidRPr="00A30052">
        <w:rPr>
          <w:rFonts w:ascii="Times New Roman" w:hAnsi="Times New Roman"/>
          <w:i/>
          <w:iCs/>
          <w:color w:val="00B0F0"/>
          <w:sz w:val="24"/>
          <w:szCs w:val="24"/>
        </w:rPr>
        <w:t>”</w:t>
      </w:r>
      <w:r w:rsidR="00173E7D" w:rsidRPr="00A30052">
        <w:rPr>
          <w:rFonts w:ascii="Times New Roman" w:hAnsi="Times New Roman"/>
          <w:color w:val="00B0F0"/>
          <w:sz w:val="24"/>
          <w:szCs w:val="24"/>
        </w:rPr>
        <w:t xml:space="preserve"> dhe bashkëpunimin ndërmjet autoriteteve. Banka e Shqipërisë sqaroi se ndarja e kompetenca mbikëqyrëse në rastin e </w:t>
      </w:r>
      <w:r w:rsidR="00173E7D" w:rsidRPr="00A30052">
        <w:rPr>
          <w:rFonts w:ascii="Times New Roman" w:hAnsi="Times New Roman"/>
          <w:color w:val="00B0F0"/>
          <w:sz w:val="24"/>
          <w:szCs w:val="24"/>
        </w:rPr>
        <w:lastRenderedPageBreak/>
        <w:t>veprimtarisë ndërkufitare, parashikohen qartë në nenet 26/1–26/8 sipas ndryshimeve të propozuara të ligjit për institucionet e pagesave dhe në nenet 28/1 dhe 28/6–28/7 për institucionet e parasë elektronike, në përputhje me Direktivat PSD2 dhe 2009/110/KE. Gjithashtu u sqaruan subjektet se mekanizmi i passporting do të aktivizohet pas anëtarësimit të Shqipërisë në BE, ndërsa deri atëherë nëse do të ketë praktika për hapjen e degëve të këtyre institucioneve nga shtete të BE, ato do t’i nënshtrohen të njëjtave kërkesa dhe ndjekin procedurat normale të miratimit si degët e vendeve të treta.</w:t>
      </w:r>
    </w:p>
    <w:p w14:paraId="1999EAA6" w14:textId="77777777" w:rsidR="00173E7D" w:rsidRPr="00A30052" w:rsidRDefault="00173E7D" w:rsidP="00E31BA8">
      <w:pPr>
        <w:jc w:val="both"/>
        <w:rPr>
          <w:rFonts w:ascii="Times New Roman" w:hAnsi="Times New Roman"/>
          <w:color w:val="00B0F0"/>
          <w:sz w:val="24"/>
          <w:szCs w:val="24"/>
        </w:rPr>
      </w:pPr>
    </w:p>
    <w:p w14:paraId="40CB95A1" w14:textId="77777777" w:rsidR="00173E7D" w:rsidRPr="00A30052" w:rsidRDefault="00173E7D" w:rsidP="00E31BA8">
      <w:pPr>
        <w:jc w:val="both"/>
        <w:rPr>
          <w:rFonts w:ascii="Times New Roman" w:hAnsi="Times New Roman"/>
          <w:b/>
          <w:bCs/>
          <w:color w:val="00B0F0"/>
          <w:sz w:val="24"/>
          <w:szCs w:val="24"/>
        </w:rPr>
      </w:pPr>
      <w:r w:rsidRPr="00A30052">
        <w:rPr>
          <w:rFonts w:ascii="Times New Roman" w:hAnsi="Times New Roman"/>
          <w:b/>
          <w:bCs/>
          <w:color w:val="00B0F0"/>
          <w:sz w:val="24"/>
          <w:szCs w:val="24"/>
        </w:rPr>
        <w:t>3. Mbrojtja e fondeve të përdoruesve</w:t>
      </w:r>
    </w:p>
    <w:p w14:paraId="4EECFB20" w14:textId="7DADB9FF" w:rsidR="00173E7D" w:rsidRPr="00A30052" w:rsidRDefault="00F159FE" w:rsidP="00E31BA8">
      <w:pPr>
        <w:jc w:val="both"/>
        <w:rPr>
          <w:rFonts w:ascii="Times New Roman" w:hAnsi="Times New Roman"/>
          <w:color w:val="00B0F0"/>
          <w:sz w:val="24"/>
          <w:szCs w:val="24"/>
        </w:rPr>
      </w:pPr>
      <w:r w:rsidRPr="00A30052">
        <w:rPr>
          <w:rFonts w:ascii="Times New Roman" w:hAnsi="Times New Roman"/>
          <w:color w:val="00B0F0"/>
          <w:sz w:val="24"/>
          <w:szCs w:val="24"/>
        </w:rPr>
        <w:t>S</w:t>
      </w:r>
      <w:r w:rsidR="00173E7D" w:rsidRPr="00A30052">
        <w:rPr>
          <w:rFonts w:ascii="Times New Roman" w:hAnsi="Times New Roman"/>
          <w:color w:val="00B0F0"/>
          <w:sz w:val="24"/>
          <w:szCs w:val="24"/>
        </w:rPr>
        <w:t>ubjekte</w:t>
      </w:r>
      <w:r w:rsidRPr="00A30052">
        <w:rPr>
          <w:rFonts w:ascii="Times New Roman" w:hAnsi="Times New Roman"/>
          <w:color w:val="00B0F0"/>
          <w:sz w:val="24"/>
          <w:szCs w:val="24"/>
        </w:rPr>
        <w:t>t</w:t>
      </w:r>
      <w:r w:rsidR="00173E7D" w:rsidRPr="00A30052">
        <w:rPr>
          <w:rFonts w:ascii="Times New Roman" w:hAnsi="Times New Roman"/>
          <w:color w:val="00B0F0"/>
          <w:sz w:val="24"/>
          <w:szCs w:val="24"/>
        </w:rPr>
        <w:t xml:space="preserve"> </w:t>
      </w:r>
      <w:r w:rsidRPr="00A30052">
        <w:rPr>
          <w:rFonts w:ascii="Times New Roman" w:hAnsi="Times New Roman"/>
          <w:color w:val="00B0F0"/>
          <w:sz w:val="24"/>
          <w:szCs w:val="24"/>
        </w:rPr>
        <w:t>Paysera Albania sh.p.k., IutePay sh.p.k., Rpay sh.p.k.,</w:t>
      </w:r>
      <w:r w:rsidR="003967E4" w:rsidRPr="00A30052">
        <w:rPr>
          <w:rFonts w:ascii="Times New Roman" w:hAnsi="Times New Roman"/>
          <w:color w:val="00B0F0"/>
          <w:sz w:val="24"/>
          <w:szCs w:val="24"/>
        </w:rPr>
        <w:t xml:space="preserve"> AK Invest sh.a.</w:t>
      </w:r>
      <w:r w:rsidR="00D43395" w:rsidRPr="00A30052">
        <w:rPr>
          <w:rFonts w:ascii="Times New Roman" w:hAnsi="Times New Roman"/>
          <w:color w:val="00B0F0"/>
          <w:sz w:val="24"/>
          <w:szCs w:val="24"/>
        </w:rPr>
        <w:t>,</w:t>
      </w:r>
      <w:r w:rsidRPr="00A30052">
        <w:rPr>
          <w:rFonts w:ascii="Times New Roman" w:hAnsi="Times New Roman"/>
          <w:color w:val="00B0F0"/>
          <w:sz w:val="24"/>
          <w:szCs w:val="24"/>
        </w:rPr>
        <w:t xml:space="preserve"> </w:t>
      </w:r>
      <w:r w:rsidR="00173E7D" w:rsidRPr="00A30052">
        <w:rPr>
          <w:rFonts w:ascii="Times New Roman" w:hAnsi="Times New Roman"/>
          <w:color w:val="00B0F0"/>
          <w:sz w:val="24"/>
          <w:szCs w:val="24"/>
        </w:rPr>
        <w:t>propozuan mundësinë e depozitimit të fondeve për qëllime të mbrojtjes së tyre, edhe në banka (institucione krediti) të shteteve anëtare të BE-së. Banka e Shqipërisë pranoi pjesërisht sugjerimin, duke bërë një riformulim të kërkesës përkatëse, ku deri në anëtarësim, fondet do të vijojnë të mbrohen vetëm pranë bankave (institucioneve të kreditit) në Shqipëri ose në Bankën e Shqipërisë, sipas diskrecionit të kësaj të fundit, dhe pas anëtarësimit të lejohet edhe depozitimi në banka (institucione krediti) të shteteve anëtare, ose në banka qendrore të shteteve anëtare, sipas diskrecionit të tyre. Ky rishikim vjen edhe në linjë me parashikimet e Direktivës PSD3 për këtë çështje, që pritet të miratohet në shpejti në BE.</w:t>
      </w:r>
    </w:p>
    <w:p w14:paraId="746AC819" w14:textId="77777777" w:rsidR="00173E7D" w:rsidRPr="00A30052" w:rsidRDefault="00173E7D" w:rsidP="00E31BA8">
      <w:pPr>
        <w:jc w:val="both"/>
        <w:rPr>
          <w:rFonts w:ascii="Times New Roman" w:hAnsi="Times New Roman"/>
          <w:color w:val="00B0F0"/>
          <w:sz w:val="24"/>
          <w:szCs w:val="24"/>
        </w:rPr>
      </w:pPr>
    </w:p>
    <w:p w14:paraId="3F8B603E" w14:textId="77777777" w:rsidR="00173E7D" w:rsidRPr="00A30052" w:rsidRDefault="00173E7D" w:rsidP="00E31BA8">
      <w:pPr>
        <w:jc w:val="both"/>
        <w:rPr>
          <w:rFonts w:ascii="Times New Roman" w:hAnsi="Times New Roman"/>
          <w:b/>
          <w:bCs/>
          <w:color w:val="00B0F0"/>
          <w:sz w:val="24"/>
          <w:szCs w:val="24"/>
        </w:rPr>
      </w:pPr>
      <w:r w:rsidRPr="00A30052">
        <w:rPr>
          <w:rFonts w:ascii="Times New Roman" w:hAnsi="Times New Roman"/>
          <w:b/>
          <w:bCs/>
          <w:color w:val="00B0F0"/>
          <w:sz w:val="24"/>
          <w:szCs w:val="24"/>
        </w:rPr>
        <w:t>4. Paraja elektronike — emetimi, ripagimi dhe tarifat</w:t>
      </w:r>
    </w:p>
    <w:p w14:paraId="3869B9FB" w14:textId="40F77D1B" w:rsidR="00611946" w:rsidRPr="00A30052" w:rsidRDefault="00173E7D" w:rsidP="00611946">
      <w:pPr>
        <w:pStyle w:val="BodyText"/>
        <w:jc w:val="both"/>
        <w:rPr>
          <w:rFonts w:ascii="Times New Roman" w:hAnsi="Times New Roman"/>
          <w:b/>
          <w:color w:val="00B0F0"/>
          <w:sz w:val="20"/>
        </w:rPr>
      </w:pPr>
      <w:r w:rsidRPr="00A30052">
        <w:rPr>
          <w:rFonts w:ascii="Times New Roman" w:hAnsi="Times New Roman"/>
          <w:color w:val="00B0F0"/>
          <w:sz w:val="24"/>
          <w:szCs w:val="24"/>
        </w:rPr>
        <w:t xml:space="preserve">Subjektet </w:t>
      </w:r>
      <w:r w:rsidR="00C6610A" w:rsidRPr="00A30052">
        <w:rPr>
          <w:rFonts w:ascii="Times New Roman" w:hAnsi="Times New Roman"/>
          <w:color w:val="00B0F0"/>
          <w:sz w:val="24"/>
          <w:szCs w:val="24"/>
        </w:rPr>
        <w:t xml:space="preserve">Happy Pay sh.a., Paysera Albania sh.p.k., eReja sh.p.k., </w:t>
      </w:r>
      <w:r w:rsidR="00CC54CA" w:rsidRPr="00A30052">
        <w:rPr>
          <w:rFonts w:ascii="Times New Roman" w:hAnsi="Times New Roman"/>
          <w:color w:val="00B0F0"/>
          <w:sz w:val="24"/>
          <w:szCs w:val="24"/>
        </w:rPr>
        <w:t>IutePay sh.p.k.</w:t>
      </w:r>
      <w:r w:rsidR="00611946" w:rsidRPr="00A30052">
        <w:rPr>
          <w:rFonts w:ascii="Times New Roman" w:hAnsi="Times New Roman"/>
          <w:color w:val="00B0F0"/>
          <w:sz w:val="24"/>
          <w:szCs w:val="24"/>
        </w:rPr>
        <w:t xml:space="preserve">, </w:t>
      </w:r>
      <w:r w:rsidRPr="00A30052">
        <w:rPr>
          <w:rFonts w:ascii="Times New Roman" w:hAnsi="Times New Roman"/>
          <w:color w:val="00B0F0"/>
          <w:sz w:val="24"/>
          <w:szCs w:val="24"/>
        </w:rPr>
        <w:t xml:space="preserve">ngritën pyetje mbi </w:t>
      </w:r>
      <w:r w:rsidR="00CC54CA" w:rsidRPr="00A30052">
        <w:rPr>
          <w:rFonts w:ascii="Times New Roman" w:hAnsi="Times New Roman"/>
          <w:color w:val="00B0F0"/>
          <w:sz w:val="24"/>
          <w:szCs w:val="24"/>
        </w:rPr>
        <w:t>ushtrimin nga bankat të veprimtarisë së emetimit të parasë elektronike, veprimtaritë shtesë që mund të ushtrojnë institucionet e parasë elektronike,</w:t>
      </w:r>
      <w:r w:rsidR="00611946" w:rsidRPr="00A30052">
        <w:rPr>
          <w:rFonts w:ascii="Times New Roman" w:hAnsi="Times New Roman"/>
          <w:color w:val="00B0F0"/>
          <w:sz w:val="24"/>
          <w:szCs w:val="24"/>
        </w:rPr>
        <w:t xml:space="preserve"> u sqaruan se Bankat mund të ushtrojnë edhe veprimtarinë e emetimit të parasë elektronike sipas ligjit për bankat, ndërsa dispozitat për veprimtaritë shtesë janë hartuar në përputhje me direktivat përkatëse. Ndërsa lidhur me </w:t>
      </w:r>
      <w:r w:rsidR="00CC54CA" w:rsidRPr="00A30052">
        <w:rPr>
          <w:rFonts w:ascii="Times New Roman" w:hAnsi="Times New Roman"/>
          <w:color w:val="00B0F0"/>
          <w:sz w:val="24"/>
          <w:szCs w:val="24"/>
        </w:rPr>
        <w:t xml:space="preserve"> </w:t>
      </w:r>
      <w:r w:rsidRPr="00A30052">
        <w:rPr>
          <w:rFonts w:ascii="Times New Roman" w:hAnsi="Times New Roman"/>
          <w:color w:val="00B0F0"/>
          <w:sz w:val="24"/>
          <w:szCs w:val="24"/>
        </w:rPr>
        <w:t>kohën e mbrojtjes së fondeve në këmbim të parasë elektronike të emetuar dhe Banka e Shqipërisë i sqaroi se afati 5-ditor për mbrojtjen e fondeve vlen vetëm kur pagesa bëhet me instrument pagese dhe jo në rastet kur fondet merren në para fizike (</w:t>
      </w:r>
      <w:r w:rsidRPr="00A30052">
        <w:rPr>
          <w:rFonts w:ascii="Times New Roman" w:hAnsi="Times New Roman"/>
          <w:i/>
          <w:iCs/>
          <w:color w:val="00B0F0"/>
          <w:sz w:val="24"/>
          <w:szCs w:val="24"/>
        </w:rPr>
        <w:t>cash</w:t>
      </w:r>
      <w:r w:rsidRPr="00A30052">
        <w:rPr>
          <w:rFonts w:ascii="Times New Roman" w:hAnsi="Times New Roman"/>
          <w:color w:val="00B0F0"/>
          <w:sz w:val="24"/>
          <w:szCs w:val="24"/>
        </w:rPr>
        <w:t>). Gjithashtu subjektet pyetën mbi zbatimin praktik të tarifave proporcionale në rastin e ripagimit të fondeve, ndërsa Banka e Shqipërisë sqaroi se çdo tarifë ripagimi duhet të jetë transparente, e justifikueshme dhe proporcionale me kostot reale të emetuesit — pa imponuar tarifa të paracaktuara, por duke pasur mundësinë për të provuar para autoritetit mbikëqyrës këto kosto reale.</w:t>
      </w:r>
      <w:r w:rsidR="00CC54CA" w:rsidRPr="00A30052">
        <w:rPr>
          <w:rFonts w:ascii="Times New Roman" w:hAnsi="Times New Roman"/>
          <w:color w:val="00B0F0"/>
          <w:sz w:val="24"/>
          <w:szCs w:val="24"/>
        </w:rPr>
        <w:t xml:space="preserve"> </w:t>
      </w:r>
    </w:p>
    <w:p w14:paraId="42033EDB" w14:textId="77777777" w:rsidR="00173E7D" w:rsidRPr="00A30052" w:rsidRDefault="00173E7D" w:rsidP="00E31BA8">
      <w:pPr>
        <w:jc w:val="both"/>
        <w:rPr>
          <w:rFonts w:ascii="Times New Roman" w:hAnsi="Times New Roman"/>
          <w:color w:val="00B0F0"/>
          <w:sz w:val="24"/>
          <w:szCs w:val="24"/>
        </w:rPr>
      </w:pPr>
    </w:p>
    <w:p w14:paraId="118F3BD1" w14:textId="77777777" w:rsidR="00173E7D" w:rsidRPr="00A30052" w:rsidRDefault="00173E7D" w:rsidP="00E31BA8">
      <w:pPr>
        <w:jc w:val="both"/>
        <w:rPr>
          <w:rFonts w:ascii="Times New Roman" w:hAnsi="Times New Roman"/>
          <w:b/>
          <w:bCs/>
          <w:color w:val="00B0F0"/>
          <w:sz w:val="24"/>
          <w:szCs w:val="24"/>
        </w:rPr>
      </w:pPr>
      <w:r w:rsidRPr="00A30052">
        <w:rPr>
          <w:rFonts w:ascii="Times New Roman" w:hAnsi="Times New Roman"/>
          <w:b/>
          <w:bCs/>
          <w:color w:val="00B0F0"/>
          <w:sz w:val="24"/>
          <w:szCs w:val="24"/>
        </w:rPr>
        <w:t>5. Përjashtimet, subjektet e vegjël dhe konkurrenca</w:t>
      </w:r>
    </w:p>
    <w:p w14:paraId="101022C4" w14:textId="77E4BF60" w:rsidR="00173E7D" w:rsidRPr="00A30052" w:rsidRDefault="002A16C0" w:rsidP="00E31BA8">
      <w:pPr>
        <w:jc w:val="both"/>
        <w:rPr>
          <w:rFonts w:ascii="Times New Roman" w:hAnsi="Times New Roman"/>
          <w:color w:val="00B0F0"/>
          <w:sz w:val="24"/>
          <w:szCs w:val="24"/>
        </w:rPr>
      </w:pPr>
      <w:r w:rsidRPr="00A30052">
        <w:rPr>
          <w:rFonts w:ascii="Times New Roman" w:hAnsi="Times New Roman"/>
          <w:color w:val="00B0F0"/>
          <w:sz w:val="24"/>
          <w:szCs w:val="24"/>
        </w:rPr>
        <w:t xml:space="preserve">Disa operatorë ekzistues </w:t>
      </w:r>
      <w:r w:rsidR="003F28BC" w:rsidRPr="00A30052">
        <w:rPr>
          <w:rFonts w:ascii="Times New Roman" w:hAnsi="Times New Roman"/>
          <w:color w:val="00B0F0"/>
          <w:sz w:val="24"/>
          <w:szCs w:val="24"/>
        </w:rPr>
        <w:t xml:space="preserve">si </w:t>
      </w:r>
      <w:r w:rsidR="00F83B58" w:rsidRPr="00A30052">
        <w:rPr>
          <w:rFonts w:ascii="Times New Roman" w:hAnsi="Times New Roman"/>
          <w:color w:val="00B0F0"/>
          <w:sz w:val="24"/>
          <w:szCs w:val="24"/>
        </w:rPr>
        <w:t xml:space="preserve">AK Invest sh.a, IutePay sh.p.k., </w:t>
      </w:r>
      <w:r w:rsidRPr="00A30052">
        <w:rPr>
          <w:rFonts w:ascii="Times New Roman" w:hAnsi="Times New Roman"/>
          <w:color w:val="00B0F0"/>
          <w:sz w:val="24"/>
          <w:szCs w:val="24"/>
        </w:rPr>
        <w:t xml:space="preserve">Happy Pay sh.a., </w:t>
      </w:r>
      <w:r w:rsidR="00173E7D" w:rsidRPr="00A30052">
        <w:rPr>
          <w:rFonts w:ascii="Times New Roman" w:hAnsi="Times New Roman"/>
          <w:color w:val="00B0F0"/>
          <w:sz w:val="24"/>
          <w:szCs w:val="24"/>
        </w:rPr>
        <w:t>shprehën shqetësim se regjimi i përjashtimeve (nenet 27–28 të ligjit) favorizon hyrjen e aktorëve të rinj dhe të huaj me kushte më të lehta. Banka e Shqipërisë sqaroi se këto parashikime janë në përputhje me Direktivat e BE-së dhe se përjashtimet janë të kushtëzuara nga volumet e veprimtarisë, duke mos i përjashtuar subjektet plotësisht nga kërkesat e ligjit dhe nga mbikëqyrja. U theksua se subjektet ekzistuese dhe të reja i nënshtrohen të njëjtave rregulla kur plotësohen kushtet e njëjta.</w:t>
      </w:r>
    </w:p>
    <w:p w14:paraId="56126EC7" w14:textId="77777777" w:rsidR="00173E7D" w:rsidRPr="00A30052" w:rsidRDefault="00173E7D" w:rsidP="00E31BA8">
      <w:pPr>
        <w:jc w:val="both"/>
        <w:rPr>
          <w:rFonts w:ascii="Times New Roman" w:hAnsi="Times New Roman"/>
          <w:color w:val="00B0F0"/>
          <w:sz w:val="24"/>
          <w:szCs w:val="24"/>
        </w:rPr>
      </w:pPr>
    </w:p>
    <w:p w14:paraId="1C309D44" w14:textId="77777777" w:rsidR="00173E7D" w:rsidRPr="00A30052" w:rsidRDefault="00173E7D" w:rsidP="00E31BA8">
      <w:pPr>
        <w:jc w:val="both"/>
        <w:rPr>
          <w:rFonts w:ascii="Times New Roman" w:hAnsi="Times New Roman"/>
          <w:b/>
          <w:bCs/>
          <w:color w:val="00B0F0"/>
          <w:sz w:val="24"/>
          <w:szCs w:val="24"/>
        </w:rPr>
      </w:pPr>
      <w:r w:rsidRPr="00A30052">
        <w:rPr>
          <w:rFonts w:ascii="Times New Roman" w:hAnsi="Times New Roman"/>
          <w:b/>
          <w:bCs/>
          <w:color w:val="00B0F0"/>
          <w:sz w:val="24"/>
          <w:szCs w:val="24"/>
        </w:rPr>
        <w:t>6. Sanksionet, raportimi dhe çështje të tjera procedurale</w:t>
      </w:r>
    </w:p>
    <w:p w14:paraId="07153814" w14:textId="0557A7A7" w:rsidR="00173E7D" w:rsidRPr="00A30052" w:rsidRDefault="00AC6F7C" w:rsidP="00173E7D">
      <w:pPr>
        <w:jc w:val="both"/>
        <w:rPr>
          <w:rFonts w:ascii="Times New Roman" w:hAnsi="Times New Roman"/>
          <w:color w:val="00B0F0"/>
          <w:sz w:val="24"/>
          <w:szCs w:val="24"/>
        </w:rPr>
      </w:pPr>
      <w:r w:rsidRPr="00A30052">
        <w:rPr>
          <w:rFonts w:ascii="Times New Roman" w:hAnsi="Times New Roman"/>
          <w:color w:val="00B0F0"/>
          <w:sz w:val="24"/>
          <w:szCs w:val="24"/>
        </w:rPr>
        <w:t>Subjektet si AK Invest sh.a. dhe Happy Pay sh.a., BKT Pay sh.a., si dhe Banka Credins sh.a. dhe Banka ProCredit sh.a.</w:t>
      </w:r>
      <w:r w:rsidR="00A30052">
        <w:rPr>
          <w:rFonts w:ascii="Times New Roman" w:hAnsi="Times New Roman"/>
          <w:color w:val="00B0F0"/>
          <w:sz w:val="24"/>
          <w:szCs w:val="24"/>
        </w:rPr>
        <w:t>,</w:t>
      </w:r>
      <w:r w:rsidRPr="00A30052">
        <w:rPr>
          <w:rFonts w:ascii="Times New Roman" w:hAnsi="Times New Roman"/>
          <w:color w:val="00B0F0"/>
          <w:sz w:val="24"/>
          <w:szCs w:val="24"/>
        </w:rPr>
        <w:t xml:space="preserve"> kërkuan dhe </w:t>
      </w:r>
      <w:r w:rsidR="00173E7D" w:rsidRPr="00A30052">
        <w:rPr>
          <w:rFonts w:ascii="Times New Roman" w:hAnsi="Times New Roman"/>
          <w:color w:val="00B0F0"/>
          <w:sz w:val="24"/>
          <w:szCs w:val="24"/>
        </w:rPr>
        <w:t xml:space="preserve">sugjeruan anonimizim të sanksioneve sipas parashikimeve të nenit 95 të ligjit, ndërsa Banka e Shqipërisë sqaroi se neni 95 për publikimin e sanksioneve është dispozitë ekzistuese dhe nuk ndryshon sipas projektligjit në fjalë dhe se kjo kërkesë është në përputhje të plotë me Direktivën PSD2. Subjektet sugjeruan thjeshtim të referencave ndaj akteve të BE-së, ndërsa u sqaruan se referencat ndaj </w:t>
      </w:r>
      <w:r w:rsidR="00173E7D" w:rsidRPr="00A30052">
        <w:rPr>
          <w:rFonts w:ascii="Times New Roman" w:hAnsi="Times New Roman"/>
          <w:i/>
          <w:iCs/>
          <w:color w:val="00B0F0"/>
          <w:sz w:val="24"/>
          <w:szCs w:val="24"/>
        </w:rPr>
        <w:t>acquis</w:t>
      </w:r>
      <w:r w:rsidR="00173E7D" w:rsidRPr="00A30052">
        <w:rPr>
          <w:rFonts w:ascii="Times New Roman" w:hAnsi="Times New Roman"/>
          <w:color w:val="00B0F0"/>
          <w:sz w:val="24"/>
          <w:szCs w:val="24"/>
        </w:rPr>
        <w:t xml:space="preserve"> synojnë lehtësimin e përafrimit. Lidhur me paqartësitë në kërkesat për pagesat e menjëhershme (</w:t>
      </w:r>
      <w:r w:rsidR="00173E7D" w:rsidRPr="00A30052">
        <w:rPr>
          <w:rFonts w:ascii="Times New Roman" w:hAnsi="Times New Roman"/>
          <w:i/>
          <w:iCs/>
          <w:color w:val="00B0F0"/>
          <w:sz w:val="24"/>
          <w:szCs w:val="24"/>
        </w:rPr>
        <w:t>instant payments</w:t>
      </w:r>
      <w:r w:rsidR="00173E7D" w:rsidRPr="00A30052">
        <w:rPr>
          <w:rFonts w:ascii="Times New Roman" w:hAnsi="Times New Roman"/>
          <w:color w:val="00B0F0"/>
          <w:sz w:val="24"/>
          <w:szCs w:val="24"/>
        </w:rPr>
        <w:t xml:space="preserve">) </w:t>
      </w:r>
      <w:r w:rsidR="00173E7D" w:rsidRPr="00A30052">
        <w:rPr>
          <w:rFonts w:ascii="Times New Roman" w:hAnsi="Times New Roman"/>
          <w:color w:val="00B0F0"/>
          <w:sz w:val="24"/>
          <w:szCs w:val="24"/>
        </w:rPr>
        <w:lastRenderedPageBreak/>
        <w:t>dhe kuadrin DORA, u sqarua se këto çështje do të rregullohen me akte nënligjore të posaçme, duke respektuar parimin e proporcionalitetit sipas madhësisë dhe kompleksitetit të subjekteve.</w:t>
      </w:r>
    </w:p>
    <w:p w14:paraId="5BAD5B8B" w14:textId="77777777" w:rsidR="00122234" w:rsidRPr="00A30052" w:rsidRDefault="00122234" w:rsidP="00173E7D">
      <w:pPr>
        <w:jc w:val="both"/>
        <w:rPr>
          <w:rFonts w:ascii="Times New Roman" w:hAnsi="Times New Roman"/>
          <w:color w:val="00B0F0"/>
          <w:sz w:val="24"/>
          <w:szCs w:val="24"/>
        </w:rPr>
      </w:pPr>
    </w:p>
    <w:p w14:paraId="11E7FD77" w14:textId="73A48E89" w:rsidR="003673F9" w:rsidRPr="00A30052" w:rsidRDefault="003673F9" w:rsidP="00122234">
      <w:pPr>
        <w:rPr>
          <w:rFonts w:ascii="Times New Roman" w:hAnsi="Times New Roman"/>
          <w:b/>
          <w:bCs/>
          <w:color w:val="00B0F0"/>
          <w:sz w:val="24"/>
          <w:szCs w:val="24"/>
        </w:rPr>
      </w:pPr>
      <w:r w:rsidRPr="00A30052">
        <w:rPr>
          <w:rFonts w:ascii="Times New Roman" w:hAnsi="Times New Roman"/>
          <w:b/>
          <w:bCs/>
          <w:color w:val="00B0F0"/>
          <w:sz w:val="24"/>
          <w:szCs w:val="24"/>
        </w:rPr>
        <w:t>7. Agjent</w:t>
      </w:r>
      <w:r w:rsidR="00611946" w:rsidRPr="00A30052">
        <w:rPr>
          <w:rFonts w:ascii="Times New Roman" w:hAnsi="Times New Roman"/>
          <w:b/>
          <w:bCs/>
          <w:color w:val="00B0F0"/>
          <w:sz w:val="24"/>
          <w:szCs w:val="24"/>
        </w:rPr>
        <w:t>ë</w:t>
      </w:r>
      <w:r w:rsidRPr="00A30052">
        <w:rPr>
          <w:rFonts w:ascii="Times New Roman" w:hAnsi="Times New Roman"/>
          <w:b/>
          <w:bCs/>
          <w:color w:val="00B0F0"/>
          <w:sz w:val="24"/>
          <w:szCs w:val="24"/>
        </w:rPr>
        <w:t>t (outsourcing)</w:t>
      </w:r>
    </w:p>
    <w:p w14:paraId="10B9E28D" w14:textId="77777777" w:rsidR="00A30052" w:rsidRDefault="00A30052" w:rsidP="00E31BA8">
      <w:pPr>
        <w:jc w:val="both"/>
        <w:rPr>
          <w:rFonts w:ascii="Times New Roman" w:hAnsi="Times New Roman"/>
          <w:color w:val="00B0F0"/>
          <w:sz w:val="24"/>
          <w:szCs w:val="24"/>
        </w:rPr>
      </w:pPr>
    </w:p>
    <w:p w14:paraId="47BF943F" w14:textId="0EC7594F" w:rsidR="00E31BA8" w:rsidRPr="00A30052" w:rsidRDefault="000850C4" w:rsidP="00E31BA8">
      <w:pPr>
        <w:jc w:val="both"/>
        <w:rPr>
          <w:rFonts w:ascii="Times New Roman" w:hAnsi="Times New Roman"/>
          <w:color w:val="00B0F0"/>
          <w:sz w:val="24"/>
          <w:szCs w:val="24"/>
        </w:rPr>
      </w:pPr>
      <w:r w:rsidRPr="00A30052">
        <w:rPr>
          <w:rFonts w:ascii="Times New Roman" w:hAnsi="Times New Roman"/>
          <w:color w:val="00B0F0"/>
          <w:sz w:val="24"/>
          <w:szCs w:val="24"/>
        </w:rPr>
        <w:t>Happy Pay sh.a. ka kërkuar që në kuadër të nenit 21 për agjentët të përfshihet edhe informacioni mbi strukturën e pronësisë dhe pronarët përfitues përfundimtarë, por Banka e Shqipërisë ka sqaruar se këto kërkesa mbulohen tashmë nga legjislacioni për parandalimin e pastrimit të parave dhe financimit të terrorizmit dhe nuk është e nevojshme të përsëriten në ligjin “Për shërbimet e pagesave”. Ndërkohë, IutePay sh.p.k. ka kërkuar sqarim mbi nenin 26/3, pika 4, nëse veprimtaria mund të fillojë pas njoftimit apo vetëm pas miratimit, dhe Banka e Shqipërisë ka sqaruar se aktiviteti nuk mund të nisë pa përfunduar procesi i vlerësimit dhe regjistrimit, si dhe se mund të refuzohet ose shfuqizohet regjistrimi në rast vlerësimi negativ. Gjithashtu, AK Invest sh.a. ka propozuar që detyrimi për raportim periodik sipas nenit 26/4, pika 7, të detajohet në akt nënligjor, por Banka e Shqipërisë ka sqaruar se kjo dispozitë do të zbatohet kur Shqipëria të jetë shtet anëtar i BE-së dhe në atë moment rregullorja përkatëse e BE-së do të jetë drejtpërdrejt e zbatueshme.</w:t>
      </w:r>
    </w:p>
    <w:sectPr w:rsidR="00E31BA8" w:rsidRPr="00A30052" w:rsidSect="006144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2F7"/>
    <w:multiLevelType w:val="hybridMultilevel"/>
    <w:tmpl w:val="874835A6"/>
    <w:lvl w:ilvl="0" w:tplc="A3B4B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502"/>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D038B"/>
    <w:multiLevelType w:val="hybridMultilevel"/>
    <w:tmpl w:val="B3BA8A84"/>
    <w:lvl w:ilvl="0" w:tplc="8AF43F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B3DD9"/>
    <w:multiLevelType w:val="hybridMultilevel"/>
    <w:tmpl w:val="DBFA8952"/>
    <w:lvl w:ilvl="0" w:tplc="8AF43F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60AD7"/>
    <w:multiLevelType w:val="hybridMultilevel"/>
    <w:tmpl w:val="39D8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20DE3"/>
    <w:multiLevelType w:val="hybridMultilevel"/>
    <w:tmpl w:val="D8F2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47319001">
    <w:abstractNumId w:val="1"/>
  </w:num>
  <w:num w:numId="2" w16cid:durableId="1405953812">
    <w:abstractNumId w:val="7"/>
  </w:num>
  <w:num w:numId="3" w16cid:durableId="31423946">
    <w:abstractNumId w:val="8"/>
  </w:num>
  <w:num w:numId="4" w16cid:durableId="707989084">
    <w:abstractNumId w:val="6"/>
  </w:num>
  <w:num w:numId="5" w16cid:durableId="1069615422">
    <w:abstractNumId w:val="2"/>
  </w:num>
  <w:num w:numId="6" w16cid:durableId="1497920947">
    <w:abstractNumId w:val="4"/>
  </w:num>
  <w:num w:numId="7" w16cid:durableId="1367566043">
    <w:abstractNumId w:val="5"/>
  </w:num>
  <w:num w:numId="8" w16cid:durableId="1732581202">
    <w:abstractNumId w:val="0"/>
  </w:num>
  <w:num w:numId="9" w16cid:durableId="876356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01395"/>
    <w:rsid w:val="00033273"/>
    <w:rsid w:val="0004166D"/>
    <w:rsid w:val="00061064"/>
    <w:rsid w:val="00066F78"/>
    <w:rsid w:val="000850C4"/>
    <w:rsid w:val="00087CA5"/>
    <w:rsid w:val="00094BA2"/>
    <w:rsid w:val="000A4354"/>
    <w:rsid w:val="000C104A"/>
    <w:rsid w:val="000C6821"/>
    <w:rsid w:val="00104C13"/>
    <w:rsid w:val="00106273"/>
    <w:rsid w:val="00122234"/>
    <w:rsid w:val="00137936"/>
    <w:rsid w:val="0014166D"/>
    <w:rsid w:val="001655EA"/>
    <w:rsid w:val="00173E7D"/>
    <w:rsid w:val="00196392"/>
    <w:rsid w:val="001B4CF8"/>
    <w:rsid w:val="001C6CF4"/>
    <w:rsid w:val="001D5FBE"/>
    <w:rsid w:val="001E2389"/>
    <w:rsid w:val="001F27E8"/>
    <w:rsid w:val="0021467E"/>
    <w:rsid w:val="00215C6F"/>
    <w:rsid w:val="002268EC"/>
    <w:rsid w:val="00226AA9"/>
    <w:rsid w:val="002516F3"/>
    <w:rsid w:val="00255A0F"/>
    <w:rsid w:val="00260E60"/>
    <w:rsid w:val="00271955"/>
    <w:rsid w:val="00281760"/>
    <w:rsid w:val="00283890"/>
    <w:rsid w:val="002A16C0"/>
    <w:rsid w:val="002B161B"/>
    <w:rsid w:val="002E361D"/>
    <w:rsid w:val="002F008A"/>
    <w:rsid w:val="00332DB4"/>
    <w:rsid w:val="003673F9"/>
    <w:rsid w:val="00376A1A"/>
    <w:rsid w:val="00396764"/>
    <w:rsid w:val="003967E4"/>
    <w:rsid w:val="003B262F"/>
    <w:rsid w:val="003B496F"/>
    <w:rsid w:val="003B63C8"/>
    <w:rsid w:val="003B7B1D"/>
    <w:rsid w:val="003F28BC"/>
    <w:rsid w:val="00424E7F"/>
    <w:rsid w:val="00427246"/>
    <w:rsid w:val="00434B95"/>
    <w:rsid w:val="00435429"/>
    <w:rsid w:val="00445CC3"/>
    <w:rsid w:val="00450ABA"/>
    <w:rsid w:val="004707DF"/>
    <w:rsid w:val="004A0263"/>
    <w:rsid w:val="004B3EBB"/>
    <w:rsid w:val="004C711D"/>
    <w:rsid w:val="004D61DA"/>
    <w:rsid w:val="0051233D"/>
    <w:rsid w:val="00546F5A"/>
    <w:rsid w:val="00552C81"/>
    <w:rsid w:val="00593187"/>
    <w:rsid w:val="005B1920"/>
    <w:rsid w:val="005B6D2B"/>
    <w:rsid w:val="005D2A6A"/>
    <w:rsid w:val="005D3D84"/>
    <w:rsid w:val="005E23A7"/>
    <w:rsid w:val="00611946"/>
    <w:rsid w:val="00656BB0"/>
    <w:rsid w:val="00660D6B"/>
    <w:rsid w:val="006827D8"/>
    <w:rsid w:val="006867DF"/>
    <w:rsid w:val="006C016E"/>
    <w:rsid w:val="007018D1"/>
    <w:rsid w:val="0071640A"/>
    <w:rsid w:val="00736DED"/>
    <w:rsid w:val="00741168"/>
    <w:rsid w:val="00741C60"/>
    <w:rsid w:val="0074572B"/>
    <w:rsid w:val="007649F6"/>
    <w:rsid w:val="00765F3C"/>
    <w:rsid w:val="007755F2"/>
    <w:rsid w:val="0078465A"/>
    <w:rsid w:val="007B4432"/>
    <w:rsid w:val="007B75B2"/>
    <w:rsid w:val="007E2D27"/>
    <w:rsid w:val="007F7501"/>
    <w:rsid w:val="00811D5C"/>
    <w:rsid w:val="00826BFA"/>
    <w:rsid w:val="00840490"/>
    <w:rsid w:val="00861E58"/>
    <w:rsid w:val="00862C5F"/>
    <w:rsid w:val="00897AFE"/>
    <w:rsid w:val="008A595C"/>
    <w:rsid w:val="008B0269"/>
    <w:rsid w:val="008B38CC"/>
    <w:rsid w:val="008F44B1"/>
    <w:rsid w:val="008F56C2"/>
    <w:rsid w:val="009071CC"/>
    <w:rsid w:val="0091093C"/>
    <w:rsid w:val="0093580B"/>
    <w:rsid w:val="00963283"/>
    <w:rsid w:val="00965584"/>
    <w:rsid w:val="00972266"/>
    <w:rsid w:val="00987467"/>
    <w:rsid w:val="009A3B90"/>
    <w:rsid w:val="009B0BA1"/>
    <w:rsid w:val="009B5500"/>
    <w:rsid w:val="009B696C"/>
    <w:rsid w:val="009C1047"/>
    <w:rsid w:val="009D5AC6"/>
    <w:rsid w:val="00A06DA1"/>
    <w:rsid w:val="00A121AB"/>
    <w:rsid w:val="00A126DA"/>
    <w:rsid w:val="00A255FF"/>
    <w:rsid w:val="00A2699F"/>
    <w:rsid w:val="00A30052"/>
    <w:rsid w:val="00A3438A"/>
    <w:rsid w:val="00A749DC"/>
    <w:rsid w:val="00A80BE3"/>
    <w:rsid w:val="00A93FF3"/>
    <w:rsid w:val="00AA0487"/>
    <w:rsid w:val="00AB6D84"/>
    <w:rsid w:val="00AC6F7C"/>
    <w:rsid w:val="00AD0297"/>
    <w:rsid w:val="00AF79E0"/>
    <w:rsid w:val="00B01352"/>
    <w:rsid w:val="00B01FFE"/>
    <w:rsid w:val="00B023B5"/>
    <w:rsid w:val="00B220A7"/>
    <w:rsid w:val="00B31534"/>
    <w:rsid w:val="00B33196"/>
    <w:rsid w:val="00B41082"/>
    <w:rsid w:val="00B7524D"/>
    <w:rsid w:val="00B87F01"/>
    <w:rsid w:val="00C06552"/>
    <w:rsid w:val="00C20DD3"/>
    <w:rsid w:val="00C24CF4"/>
    <w:rsid w:val="00C6610A"/>
    <w:rsid w:val="00C6729C"/>
    <w:rsid w:val="00C94B17"/>
    <w:rsid w:val="00CC54CA"/>
    <w:rsid w:val="00D2499D"/>
    <w:rsid w:val="00D43395"/>
    <w:rsid w:val="00D7034A"/>
    <w:rsid w:val="00D73A20"/>
    <w:rsid w:val="00DA04A5"/>
    <w:rsid w:val="00DB5078"/>
    <w:rsid w:val="00DD5D4E"/>
    <w:rsid w:val="00E31BA8"/>
    <w:rsid w:val="00E351BD"/>
    <w:rsid w:val="00E37947"/>
    <w:rsid w:val="00E60450"/>
    <w:rsid w:val="00E72D4C"/>
    <w:rsid w:val="00E76E21"/>
    <w:rsid w:val="00EB7B5B"/>
    <w:rsid w:val="00ED1F8D"/>
    <w:rsid w:val="00ED3814"/>
    <w:rsid w:val="00ED6185"/>
    <w:rsid w:val="00EF0386"/>
    <w:rsid w:val="00EF14C7"/>
    <w:rsid w:val="00F03EFF"/>
    <w:rsid w:val="00F159FE"/>
    <w:rsid w:val="00F20A8C"/>
    <w:rsid w:val="00F37609"/>
    <w:rsid w:val="00F5303C"/>
    <w:rsid w:val="00F62CF1"/>
    <w:rsid w:val="00F712AF"/>
    <w:rsid w:val="00F816AC"/>
    <w:rsid w:val="00F83B58"/>
    <w:rsid w:val="00FE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69DB"/>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sq-AL"/>
    </w:rPr>
  </w:style>
  <w:style w:type="paragraph" w:styleId="Heading2">
    <w:name w:val="heading 2"/>
    <w:basedOn w:val="Normal"/>
    <w:next w:val="Normal"/>
    <w:link w:val="Heading2Char"/>
    <w:uiPriority w:val="9"/>
    <w:semiHidden/>
    <w:unhideWhenUsed/>
    <w:qFormat/>
    <w:rsid w:val="00E76E2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9">
    <w:name w:val="heading 9"/>
    <w:basedOn w:val="Normal"/>
    <w:next w:val="Normal"/>
    <w:link w:val="Heading9Char"/>
    <w:uiPriority w:val="9"/>
    <w:unhideWhenUsed/>
    <w:qFormat/>
    <w:rsid w:val="00E76E2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unhideWhenUsed/>
    <w:rsid w:val="00332DB4"/>
    <w:rPr>
      <w:sz w:val="20"/>
    </w:rPr>
  </w:style>
  <w:style w:type="character" w:customStyle="1" w:styleId="CommentTextChar">
    <w:name w:val="Comment Text Char"/>
    <w:basedOn w:val="DefaultParagraphFont"/>
    <w:link w:val="CommentText"/>
    <w:uiPriority w:val="99"/>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NoSpacing">
    <w:name w:val="No Spacing"/>
    <w:uiPriority w:val="1"/>
    <w:qFormat/>
    <w:rsid w:val="00A80BE3"/>
    <w:pPr>
      <w:spacing w:before="100"/>
    </w:pPr>
    <w:rPr>
      <w:rFonts w:eastAsiaTheme="minorEastAsia"/>
      <w:sz w:val="20"/>
      <w:szCs w:val="20"/>
    </w:rPr>
  </w:style>
  <w:style w:type="paragraph" w:styleId="NormalWeb">
    <w:name w:val="Normal (Web)"/>
    <w:basedOn w:val="Normal"/>
    <w:uiPriority w:val="99"/>
    <w:unhideWhenUsed/>
    <w:rsid w:val="00A80BE3"/>
    <w:pPr>
      <w:spacing w:before="100" w:beforeAutospacing="1" w:after="100" w:afterAutospacing="1"/>
    </w:pPr>
    <w:rPr>
      <w:rFonts w:ascii="Times New Roman" w:hAnsi="Times New Roman"/>
      <w:sz w:val="24"/>
      <w:szCs w:val="24"/>
      <w:lang w:val="en-US"/>
    </w:rPr>
  </w:style>
  <w:style w:type="paragraph" w:styleId="BodyText3">
    <w:name w:val="Body Text 3"/>
    <w:basedOn w:val="Normal"/>
    <w:link w:val="BodyText3Char"/>
    <w:unhideWhenUsed/>
    <w:rsid w:val="00A80BE3"/>
    <w:pPr>
      <w:spacing w:after="120"/>
    </w:pPr>
    <w:rPr>
      <w:sz w:val="16"/>
      <w:szCs w:val="16"/>
    </w:rPr>
  </w:style>
  <w:style w:type="character" w:customStyle="1" w:styleId="BodyText3Char">
    <w:name w:val="Body Text 3 Char"/>
    <w:basedOn w:val="DefaultParagraphFont"/>
    <w:link w:val="BodyText3"/>
    <w:rsid w:val="00A80BE3"/>
    <w:rPr>
      <w:rFonts w:ascii="Arial" w:eastAsia="Times New Roman" w:hAnsi="Arial" w:cs="Times New Roman"/>
      <w:sz w:val="16"/>
      <w:szCs w:val="16"/>
      <w:lang w:val="sq-AL"/>
    </w:rPr>
  </w:style>
  <w:style w:type="character" w:customStyle="1" w:styleId="Heading2Char">
    <w:name w:val="Heading 2 Char"/>
    <w:basedOn w:val="DefaultParagraphFont"/>
    <w:link w:val="Heading2"/>
    <w:uiPriority w:val="9"/>
    <w:semiHidden/>
    <w:rsid w:val="00E76E21"/>
    <w:rPr>
      <w:rFonts w:asciiTheme="majorHAnsi" w:eastAsiaTheme="majorEastAsia" w:hAnsiTheme="majorHAnsi" w:cstheme="majorBidi"/>
      <w:b/>
      <w:bCs/>
      <w:color w:val="4472C4" w:themeColor="accent1"/>
      <w:sz w:val="26"/>
      <w:szCs w:val="26"/>
      <w:lang w:val="sq-AL"/>
    </w:rPr>
  </w:style>
  <w:style w:type="character" w:customStyle="1" w:styleId="Heading9Char">
    <w:name w:val="Heading 9 Char"/>
    <w:basedOn w:val="DefaultParagraphFont"/>
    <w:link w:val="Heading9"/>
    <w:uiPriority w:val="9"/>
    <w:rsid w:val="00E76E21"/>
    <w:rPr>
      <w:rFonts w:asciiTheme="majorHAnsi" w:eastAsiaTheme="majorEastAsia" w:hAnsiTheme="majorHAnsi" w:cstheme="majorBidi"/>
      <w:i/>
      <w:iCs/>
      <w:color w:val="404040" w:themeColor="text1" w:themeTint="BF"/>
      <w:sz w:val="20"/>
      <w:szCs w:val="20"/>
      <w:lang w:val="sq-AL"/>
    </w:rPr>
  </w:style>
  <w:style w:type="paragraph" w:styleId="Revision">
    <w:name w:val="Revision"/>
    <w:hidden/>
    <w:uiPriority w:val="99"/>
    <w:semiHidden/>
    <w:rsid w:val="00897AFE"/>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127</TotalTime>
  <Pages>9</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Prende Cubi</cp:lastModifiedBy>
  <cp:revision>28</cp:revision>
  <dcterms:created xsi:type="dcterms:W3CDTF">2026-06-25T11:13:00Z</dcterms:created>
  <dcterms:modified xsi:type="dcterms:W3CDTF">2026-06-26T12:06:00Z</dcterms:modified>
</cp:coreProperties>
</file>