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8E46" w14:textId="77777777" w:rsidR="001943FB" w:rsidRPr="00991BFE" w:rsidRDefault="001943FB" w:rsidP="001A79C0">
      <w:pPr>
        <w:pStyle w:val="Heading1"/>
        <w:spacing w:line="276" w:lineRule="auto"/>
        <w:jc w:val="center"/>
        <w:rPr>
          <w:rFonts w:ascii="Times New Roman" w:hAnsi="Times New Roman" w:cs="Times New Roman"/>
          <w:b/>
          <w:color w:val="auto"/>
          <w:sz w:val="24"/>
          <w:szCs w:val="24"/>
          <w:lang w:val="sq-AL"/>
        </w:rPr>
      </w:pPr>
      <w:r w:rsidRPr="00991BFE">
        <w:rPr>
          <w:rFonts w:ascii="Times New Roman" w:hAnsi="Times New Roman" w:cs="Times New Roman"/>
          <w:b/>
          <w:color w:val="auto"/>
          <w:sz w:val="24"/>
          <w:szCs w:val="24"/>
          <w:lang w:val="sq-AL"/>
        </w:rPr>
        <w:t>RELACION</w:t>
      </w:r>
    </w:p>
    <w:p w14:paraId="790010C8" w14:textId="77777777" w:rsidR="001943FB" w:rsidRPr="00991BFE" w:rsidRDefault="001943FB" w:rsidP="001A79C0">
      <w:pPr>
        <w:pStyle w:val="Heading1"/>
        <w:spacing w:line="276" w:lineRule="auto"/>
        <w:jc w:val="center"/>
        <w:rPr>
          <w:rFonts w:ascii="Times New Roman" w:hAnsi="Times New Roman" w:cs="Times New Roman"/>
          <w:b/>
          <w:color w:val="auto"/>
          <w:sz w:val="24"/>
          <w:szCs w:val="24"/>
          <w:lang w:val="sq-AL"/>
        </w:rPr>
      </w:pPr>
      <w:r w:rsidRPr="00991BFE">
        <w:rPr>
          <w:rFonts w:ascii="Times New Roman" w:hAnsi="Times New Roman" w:cs="Times New Roman"/>
          <w:b/>
          <w:color w:val="auto"/>
          <w:sz w:val="24"/>
          <w:szCs w:val="24"/>
          <w:lang w:val="sq-AL"/>
        </w:rPr>
        <w:t>PËR</w:t>
      </w:r>
    </w:p>
    <w:p w14:paraId="2C9AEC44" w14:textId="4E66B562" w:rsidR="00C4771F" w:rsidRPr="00991BFE" w:rsidRDefault="001943FB" w:rsidP="00C4771F">
      <w:pPr>
        <w:pStyle w:val="Heading1"/>
        <w:spacing w:line="276" w:lineRule="auto"/>
        <w:jc w:val="center"/>
        <w:rPr>
          <w:rFonts w:ascii="Times New Roman" w:hAnsi="Times New Roman" w:cs="Times New Roman"/>
          <w:b/>
          <w:color w:val="auto"/>
          <w:sz w:val="24"/>
          <w:szCs w:val="24"/>
          <w:lang w:val="sq-AL"/>
        </w:rPr>
      </w:pPr>
      <w:r w:rsidRPr="00991BFE">
        <w:rPr>
          <w:rFonts w:ascii="Times New Roman" w:hAnsi="Times New Roman" w:cs="Times New Roman"/>
          <w:b/>
          <w:color w:val="auto"/>
          <w:sz w:val="24"/>
          <w:szCs w:val="24"/>
          <w:lang w:val="sq-AL"/>
        </w:rPr>
        <w:t>PROJEKTLIGJIN “PËR TAKS</w:t>
      </w:r>
      <w:r w:rsidR="00714D94" w:rsidRPr="00991BFE">
        <w:rPr>
          <w:rFonts w:ascii="Times New Roman" w:hAnsi="Times New Roman" w:cs="Times New Roman"/>
          <w:b/>
          <w:color w:val="auto"/>
          <w:sz w:val="24"/>
          <w:szCs w:val="24"/>
          <w:lang w:val="sq-AL"/>
        </w:rPr>
        <w:t>Ë</w:t>
      </w:r>
      <w:r w:rsidR="002C63EF" w:rsidRPr="00991BFE">
        <w:rPr>
          <w:rFonts w:ascii="Times New Roman" w:hAnsi="Times New Roman" w:cs="Times New Roman"/>
          <w:b/>
          <w:color w:val="auto"/>
          <w:sz w:val="24"/>
          <w:szCs w:val="24"/>
          <w:lang w:val="sq-AL"/>
        </w:rPr>
        <w:t>N MBI PASURIN</w:t>
      </w:r>
      <w:r w:rsidR="00225608" w:rsidRPr="00991BFE">
        <w:rPr>
          <w:rFonts w:ascii="Times New Roman" w:hAnsi="Times New Roman" w:cs="Times New Roman"/>
          <w:b/>
          <w:color w:val="auto"/>
          <w:sz w:val="24"/>
          <w:szCs w:val="24"/>
          <w:lang w:val="sq-AL"/>
        </w:rPr>
        <w:t>Ë</w:t>
      </w:r>
      <w:r w:rsidR="002C63EF" w:rsidRPr="00991BFE">
        <w:rPr>
          <w:rFonts w:ascii="Times New Roman" w:hAnsi="Times New Roman" w:cs="Times New Roman"/>
          <w:b/>
          <w:color w:val="auto"/>
          <w:sz w:val="24"/>
          <w:szCs w:val="24"/>
          <w:lang w:val="sq-AL"/>
        </w:rPr>
        <w:t xml:space="preserve"> E PALUAJTSHME</w:t>
      </w:r>
      <w:r w:rsidRPr="00991BFE">
        <w:rPr>
          <w:rFonts w:ascii="Times New Roman" w:hAnsi="Times New Roman" w:cs="Times New Roman"/>
          <w:b/>
          <w:color w:val="auto"/>
          <w:sz w:val="24"/>
          <w:szCs w:val="24"/>
          <w:lang w:val="sq-AL"/>
        </w:rPr>
        <w:t>”</w:t>
      </w:r>
    </w:p>
    <w:p w14:paraId="55495F9B" w14:textId="77777777" w:rsidR="00C4771F" w:rsidRPr="00991BFE" w:rsidRDefault="00C4771F" w:rsidP="00B223D6">
      <w:pPr>
        <w:pStyle w:val="Heading2"/>
        <w:spacing w:line="276" w:lineRule="auto"/>
        <w:ind w:left="288"/>
        <w:rPr>
          <w:rFonts w:ascii="Times New Roman" w:hAnsi="Times New Roman"/>
          <w:b/>
          <w:color w:val="auto"/>
          <w:sz w:val="24"/>
          <w:lang w:val="sq-AL"/>
        </w:rPr>
      </w:pPr>
    </w:p>
    <w:p w14:paraId="355D4072" w14:textId="77777777" w:rsidR="00C4771F" w:rsidRPr="00991BFE" w:rsidRDefault="00C4771F" w:rsidP="00C4771F">
      <w:pPr>
        <w:pStyle w:val="Heading2"/>
        <w:numPr>
          <w:ilvl w:val="0"/>
          <w:numId w:val="12"/>
        </w:numPr>
        <w:spacing w:line="276" w:lineRule="auto"/>
        <w:rPr>
          <w:rFonts w:ascii="Times New Roman" w:hAnsi="Times New Roman"/>
          <w:b/>
          <w:color w:val="auto"/>
          <w:sz w:val="24"/>
          <w:lang w:val="sq-AL"/>
        </w:rPr>
      </w:pPr>
      <w:r w:rsidRPr="00991BFE">
        <w:rPr>
          <w:rFonts w:ascii="Times New Roman" w:hAnsi="Times New Roman"/>
          <w:b/>
          <w:color w:val="auto"/>
          <w:sz w:val="24"/>
          <w:lang w:val="sq-AL"/>
        </w:rPr>
        <w:t xml:space="preserve">QËLLIMI I PROJEKT LIGJIT DHE OBJEKTIVAT QË SYNOHEN TË ARRIHEN </w:t>
      </w:r>
      <w:r w:rsidRPr="00991BFE">
        <w:rPr>
          <w:rFonts w:ascii="Times New Roman" w:hAnsi="Times New Roman"/>
          <w:color w:val="auto"/>
          <w:sz w:val="24"/>
          <w:lang w:val="sq-AL"/>
        </w:rPr>
        <w:tab/>
      </w:r>
    </w:p>
    <w:p w14:paraId="13A1254A" w14:textId="0877A64E" w:rsidR="00A14908"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br/>
        <w:t xml:space="preserve">Taksa mbi pasurinë e paluajtshme është taksa më e rëndësishme vendore në një numër të madh vendesh, nga ato në tranzicion apo në zhvillim </w:t>
      </w:r>
      <w:r w:rsidR="00A14908" w:rsidRPr="00991BFE">
        <w:rPr>
          <w:rFonts w:ascii="Times New Roman" w:hAnsi="Times New Roman"/>
          <w:sz w:val="24"/>
          <w:lang w:val="sq-AL"/>
        </w:rPr>
        <w:t xml:space="preserve">deri </w:t>
      </w:r>
      <w:r w:rsidRPr="00991BFE">
        <w:rPr>
          <w:rFonts w:ascii="Times New Roman" w:hAnsi="Times New Roman"/>
          <w:sz w:val="24"/>
          <w:lang w:val="sq-AL"/>
        </w:rPr>
        <w:t>t</w:t>
      </w:r>
      <w:r w:rsidR="00A14908" w:rsidRPr="00991BFE">
        <w:rPr>
          <w:rFonts w:ascii="Times New Roman" w:hAnsi="Times New Roman"/>
          <w:sz w:val="24"/>
          <w:lang w:val="sq-AL"/>
        </w:rPr>
        <w:t>e</w:t>
      </w:r>
      <w:r w:rsidRPr="00991BFE">
        <w:rPr>
          <w:rFonts w:ascii="Times New Roman" w:hAnsi="Times New Roman"/>
          <w:sz w:val="24"/>
          <w:lang w:val="sq-AL"/>
        </w:rPr>
        <w:t xml:space="preserve"> ato shumë të zhvilluara. Forcimi dhe modernizimi i saj, </w:t>
      </w:r>
      <w:r w:rsidR="00A14908" w:rsidRPr="00991BFE">
        <w:rPr>
          <w:rFonts w:ascii="Times New Roman" w:hAnsi="Times New Roman"/>
          <w:sz w:val="24"/>
          <w:lang w:val="sq-AL"/>
        </w:rPr>
        <w:t>mbështet</w:t>
      </w:r>
      <w:r w:rsidRPr="00991BFE">
        <w:rPr>
          <w:rFonts w:ascii="Times New Roman" w:hAnsi="Times New Roman"/>
          <w:sz w:val="24"/>
          <w:lang w:val="sq-AL"/>
        </w:rPr>
        <w:t xml:space="preserve"> në</w:t>
      </w:r>
      <w:r w:rsidR="00A14908" w:rsidRPr="00991BFE">
        <w:rPr>
          <w:rFonts w:ascii="Times New Roman" w:hAnsi="Times New Roman"/>
          <w:sz w:val="24"/>
          <w:lang w:val="sq-AL"/>
        </w:rPr>
        <w:t xml:space="preserve">  konsiderata të shumta ekonomike, fiskale dhe administrative.</w:t>
      </w:r>
    </w:p>
    <w:p w14:paraId="23024E82" w14:textId="5CEB4338" w:rsidR="00A14908" w:rsidRPr="00991BFE" w:rsidRDefault="00C4771F" w:rsidP="00C4771F">
      <w:pPr>
        <w:spacing w:line="276" w:lineRule="auto"/>
        <w:jc w:val="both"/>
        <w:rPr>
          <w:lang w:val="sq-AL"/>
        </w:rPr>
      </w:pPr>
      <w:r w:rsidRPr="00991BFE">
        <w:rPr>
          <w:rFonts w:ascii="Times New Roman" w:hAnsi="Times New Roman"/>
          <w:sz w:val="24"/>
          <w:lang w:val="sq-AL"/>
        </w:rPr>
        <w:t xml:space="preserve">Taksa mbi pasurinë e paluajtshme përbën shpesh burimin kryesor të të ardhurave për pushtetin vendor, duke spikatur si kontribuese primare në </w:t>
      </w:r>
      <w:r w:rsidR="00A14908" w:rsidRPr="00991BFE">
        <w:rPr>
          <w:rFonts w:ascii="Times New Roman" w:hAnsi="Times New Roman"/>
          <w:sz w:val="24"/>
          <w:lang w:val="sq-AL"/>
        </w:rPr>
        <w:t xml:space="preserve">avancimin e axhendave </w:t>
      </w:r>
      <w:r w:rsidRPr="00991BFE">
        <w:rPr>
          <w:rFonts w:ascii="Times New Roman" w:hAnsi="Times New Roman"/>
          <w:sz w:val="24"/>
          <w:lang w:val="sq-AL"/>
        </w:rPr>
        <w:t xml:space="preserve">për decentralizimin fiskal të qeverisjes vendore në vende të ndryshme. Ajo gjeneron të ardhura në nivelin e rreth 0.8% të PBB - së në vendet e rajonit, 1.1 % të PBB - së në vendet e OECD - së, </w:t>
      </w:r>
      <w:r w:rsidR="00A14908" w:rsidRPr="00991BFE">
        <w:rPr>
          <w:rFonts w:ascii="Times New Roman" w:hAnsi="Times New Roman"/>
          <w:sz w:val="24"/>
          <w:lang w:val="sq-AL"/>
        </w:rPr>
        <w:t xml:space="preserve"> dhe afro 2</w:t>
      </w:r>
      <w:r w:rsidRPr="00991BFE">
        <w:rPr>
          <w:rFonts w:ascii="Times New Roman" w:hAnsi="Times New Roman"/>
          <w:sz w:val="24"/>
          <w:lang w:val="sq-AL"/>
        </w:rPr>
        <w:t>% të PBB-së në ekonomitë e zhvilluara, si dhe në disa vende si Shtetet e Bashkuara, Kanada, Francë dhe Mbretëria e Bashkuar, të ardhura nga 2 % deri në 4 % të PBB –ve përkatëse. Ajo po kthehet në një burim të rëndësishëm të ardhurash për bashkitë edhe në Shqipëri. Por gjithsesi, të ardhurat nga kjo taksë mbeten larg shifrave të sipërpërmendura. Në vitin 202</w:t>
      </w:r>
      <w:r w:rsidR="00B26478" w:rsidRPr="00991BFE">
        <w:rPr>
          <w:rFonts w:ascii="Times New Roman" w:hAnsi="Times New Roman"/>
          <w:sz w:val="24"/>
          <w:lang w:val="sq-AL"/>
        </w:rPr>
        <w:t>5</w:t>
      </w:r>
      <w:r w:rsidRPr="00991BFE">
        <w:rPr>
          <w:rFonts w:ascii="Times New Roman" w:hAnsi="Times New Roman"/>
          <w:sz w:val="24"/>
          <w:lang w:val="sq-AL"/>
        </w:rPr>
        <w:t xml:space="preserve">, të ardhurat totale ishin </w:t>
      </w:r>
      <w:r w:rsidR="00852263" w:rsidRPr="00991BFE">
        <w:rPr>
          <w:rFonts w:ascii="Times New Roman" w:hAnsi="Times New Roman"/>
          <w:sz w:val="24"/>
          <w:lang w:val="sq-AL"/>
        </w:rPr>
        <w:t>7</w:t>
      </w:r>
      <w:r w:rsidR="00BE399D">
        <w:rPr>
          <w:rFonts w:ascii="Times New Roman" w:hAnsi="Times New Roman"/>
          <w:sz w:val="24"/>
          <w:lang w:val="sq-AL"/>
        </w:rPr>
        <w:t>,</w:t>
      </w:r>
      <w:r w:rsidR="00852263" w:rsidRPr="00991BFE">
        <w:rPr>
          <w:rFonts w:ascii="Times New Roman" w:hAnsi="Times New Roman"/>
          <w:sz w:val="24"/>
          <w:lang w:val="sq-AL"/>
        </w:rPr>
        <w:t>5</w:t>
      </w:r>
      <w:r w:rsidRPr="00991BFE">
        <w:rPr>
          <w:rFonts w:ascii="Times New Roman" w:hAnsi="Times New Roman"/>
          <w:sz w:val="24"/>
          <w:lang w:val="sq-AL"/>
        </w:rPr>
        <w:t xml:space="preserve"> miliard lekë ose </w:t>
      </w:r>
      <w:r w:rsidRPr="00BE399D">
        <w:rPr>
          <w:rFonts w:ascii="Times New Roman" w:hAnsi="Times New Roman"/>
          <w:sz w:val="24"/>
          <w:lang w:val="sq-AL"/>
        </w:rPr>
        <w:t>afërsisht 0,</w:t>
      </w:r>
      <w:r w:rsidR="00CE1A18" w:rsidRPr="00B2136F">
        <w:rPr>
          <w:rFonts w:ascii="Times New Roman" w:hAnsi="Times New Roman"/>
          <w:sz w:val="24"/>
          <w:lang w:val="sq-AL"/>
        </w:rPr>
        <w:t>28</w:t>
      </w:r>
      <w:r w:rsidRPr="00B2136F">
        <w:rPr>
          <w:rFonts w:ascii="Times New Roman" w:hAnsi="Times New Roman"/>
          <w:sz w:val="24"/>
          <w:lang w:val="sq-AL"/>
        </w:rPr>
        <w:t>% e PBB - së.</w:t>
      </w:r>
      <w:r w:rsidRPr="00991BFE">
        <w:rPr>
          <w:lang w:val="sq-AL"/>
        </w:rPr>
        <w:t xml:space="preserve"> </w:t>
      </w:r>
    </w:p>
    <w:p w14:paraId="03FB95F9" w14:textId="351448CF" w:rsidR="00C4771F" w:rsidRPr="00991BFE" w:rsidRDefault="00C4771F" w:rsidP="00C4771F">
      <w:pPr>
        <w:spacing w:before="240" w:line="276" w:lineRule="auto"/>
        <w:jc w:val="both"/>
        <w:rPr>
          <w:rFonts w:ascii="Times New Roman" w:hAnsi="Times New Roman"/>
          <w:sz w:val="24"/>
          <w:lang w:val="sq-AL"/>
        </w:rPr>
      </w:pPr>
      <w:r w:rsidRPr="00991BFE">
        <w:rPr>
          <w:rFonts w:ascii="Times New Roman" w:hAnsi="Times New Roman"/>
          <w:sz w:val="24"/>
          <w:lang w:val="sq-AL"/>
        </w:rPr>
        <w:t>Krahasimi i mësipërm sugjeron së paku, që ka shumë hapësirë për rritjen e konsiderueshme të të ardhurave nga taksimi i pasurisë së paluajtshme. Krahas tij, raporte të ndryshme të FMN-së nënvizojnë përfitimet e shumta që ka implementimi i një reforme gjithëpërfshirëse për taksën mbi pasurinë e paluajtshme në Shqipëri, jo vetëm në drejtim të rritjes së të ardhurave, por dhe arritjes së objektiva të tjerë të rëndësishëm që kanë të bëjnë me barazinë, efi</w:t>
      </w:r>
      <w:r w:rsidR="00B26478" w:rsidRPr="00991BFE">
        <w:rPr>
          <w:rFonts w:ascii="Times New Roman" w:hAnsi="Times New Roman"/>
          <w:sz w:val="24"/>
          <w:lang w:val="sq-AL"/>
        </w:rPr>
        <w:t>kasitetin</w:t>
      </w:r>
      <w:r w:rsidRPr="00991BFE">
        <w:rPr>
          <w:rFonts w:ascii="Times New Roman" w:hAnsi="Times New Roman"/>
          <w:sz w:val="24"/>
          <w:lang w:val="sq-AL"/>
        </w:rPr>
        <w:t>, qëndrueshmërinë dhe transparencën e sistemit.</w:t>
      </w:r>
      <w:r w:rsidRPr="00991BFE">
        <w:rPr>
          <w:rStyle w:val="FootnoteReference"/>
          <w:rFonts w:ascii="Times New Roman" w:hAnsi="Times New Roman"/>
          <w:sz w:val="24"/>
          <w:lang w:val="sq-AL"/>
        </w:rPr>
        <w:footnoteReference w:id="2"/>
      </w:r>
      <w:r w:rsidR="00FD4C30" w:rsidRPr="00991BFE">
        <w:rPr>
          <w:rFonts w:ascii="Times New Roman" w:hAnsi="Times New Roman"/>
          <w:sz w:val="24"/>
          <w:lang w:val="sq-AL"/>
        </w:rPr>
        <w:t xml:space="preserve"> </w:t>
      </w:r>
    </w:p>
    <w:p w14:paraId="64BAD09A" w14:textId="0C41C0B6" w:rsidR="00A14908" w:rsidRPr="00991BFE" w:rsidRDefault="00C4771F" w:rsidP="00C4771F">
      <w:pPr>
        <w:spacing w:line="276" w:lineRule="auto"/>
        <w:jc w:val="both"/>
        <w:rPr>
          <w:rFonts w:ascii="Times New Roman" w:hAnsi="Times New Roman"/>
          <w:color w:val="000000" w:themeColor="text1"/>
          <w:sz w:val="24"/>
          <w:lang w:val="sq-AL"/>
        </w:rPr>
      </w:pPr>
      <w:r w:rsidRPr="00991BFE">
        <w:rPr>
          <w:rFonts w:ascii="Times New Roman" w:hAnsi="Times New Roman"/>
          <w:sz w:val="24"/>
          <w:lang w:val="sq-AL"/>
        </w:rPr>
        <w:t xml:space="preserve">Reformimi i kësaj takse, përben një komponent kryesor në një proces reformimi strukturor që synon transformimin rrënjësor të financave lokale dhe decentralizimin e plotë fiskal të qeverisjes vendore. Taksa </w:t>
      </w:r>
      <w:r w:rsidR="00C0114C" w:rsidRPr="00991BFE">
        <w:rPr>
          <w:rFonts w:ascii="Times New Roman" w:hAnsi="Times New Roman"/>
          <w:sz w:val="24"/>
          <w:lang w:val="sq-AL"/>
        </w:rPr>
        <w:t>mbi</w:t>
      </w:r>
      <w:r w:rsidRPr="00991BFE">
        <w:rPr>
          <w:rFonts w:ascii="Times New Roman" w:hAnsi="Times New Roman"/>
          <w:sz w:val="24"/>
          <w:lang w:val="sq-AL"/>
        </w:rPr>
        <w:t xml:space="preserve"> pasuri</w:t>
      </w:r>
      <w:r w:rsidR="00C0114C" w:rsidRPr="00991BFE">
        <w:rPr>
          <w:rFonts w:ascii="Times New Roman" w:hAnsi="Times New Roman"/>
          <w:sz w:val="24"/>
          <w:lang w:val="sq-AL"/>
        </w:rPr>
        <w:t>n</w:t>
      </w:r>
      <w:r w:rsidRPr="00991BFE">
        <w:rPr>
          <w:rFonts w:ascii="Times New Roman" w:hAnsi="Times New Roman"/>
          <w:sz w:val="24"/>
          <w:lang w:val="sq-AL"/>
        </w:rPr>
        <w:t xml:space="preserve">ë </w:t>
      </w:r>
      <w:r w:rsidR="00C0114C" w:rsidRPr="00991BFE">
        <w:rPr>
          <w:rFonts w:ascii="Times New Roman" w:hAnsi="Times New Roman"/>
          <w:sz w:val="24"/>
          <w:lang w:val="sq-AL"/>
        </w:rPr>
        <w:t xml:space="preserve">e paluajtshme </w:t>
      </w:r>
      <w:r w:rsidRPr="00991BFE">
        <w:rPr>
          <w:rFonts w:ascii="Times New Roman" w:hAnsi="Times New Roman"/>
          <w:sz w:val="24"/>
          <w:lang w:val="sq-AL"/>
        </w:rPr>
        <w:t xml:space="preserve">duhet të forcohet dhe shndërrohet në të ardhmen në shtyllën </w:t>
      </w:r>
      <w:r w:rsidRPr="00991BFE">
        <w:rPr>
          <w:rFonts w:ascii="Times New Roman" w:hAnsi="Times New Roman" w:cs="Times New Roman"/>
          <w:color w:val="000000" w:themeColor="text1"/>
          <w:sz w:val="24"/>
          <w:szCs w:val="24"/>
          <w:lang w:val="sq-AL"/>
        </w:rPr>
        <w:t>parësore</w:t>
      </w:r>
      <w:r w:rsidRPr="00991BFE">
        <w:rPr>
          <w:rFonts w:ascii="Times New Roman" w:hAnsi="Times New Roman"/>
          <w:color w:val="000000" w:themeColor="text1"/>
          <w:sz w:val="24"/>
          <w:lang w:val="sq-AL"/>
        </w:rPr>
        <w:t xml:space="preserve"> të të ardhurave vendore,</w:t>
      </w:r>
      <w:r w:rsidR="00FD4C30" w:rsidRPr="00991BFE">
        <w:rPr>
          <w:rFonts w:ascii="Times New Roman" w:hAnsi="Times New Roman"/>
          <w:b/>
          <w:bCs/>
          <w:color w:val="000000" w:themeColor="text1"/>
          <w:sz w:val="24"/>
          <w:lang w:val="sq-AL"/>
        </w:rPr>
        <w:t xml:space="preserve"> </w:t>
      </w:r>
      <w:r w:rsidR="00FD4C30" w:rsidRPr="00991BFE">
        <w:rPr>
          <w:rFonts w:ascii="Times New Roman" w:hAnsi="Times New Roman"/>
          <w:color w:val="000000" w:themeColor="text1"/>
          <w:sz w:val="24"/>
          <w:lang w:val="sq-AL"/>
        </w:rPr>
        <w:t>duke garantuar një burim më të qëndrueshëm, më të drejtë dhe më të parashikueshëm të të ardhurave për bashkitë</w:t>
      </w:r>
      <w:r w:rsidR="00FD4C30" w:rsidRPr="00991BFE">
        <w:rPr>
          <w:rFonts w:ascii="Times New Roman" w:hAnsi="Times New Roman"/>
          <w:b/>
          <w:bCs/>
          <w:color w:val="000000" w:themeColor="text1"/>
          <w:sz w:val="24"/>
          <w:lang w:val="sq-AL"/>
        </w:rPr>
        <w:t>.</w:t>
      </w:r>
      <w:r w:rsidRPr="00991BFE">
        <w:rPr>
          <w:rFonts w:ascii="Times New Roman" w:hAnsi="Times New Roman"/>
          <w:color w:val="000000" w:themeColor="text1"/>
          <w:sz w:val="24"/>
          <w:lang w:val="sq-AL"/>
        </w:rPr>
        <w:t xml:space="preserve"> </w:t>
      </w:r>
      <w:r w:rsidR="00FD4C30" w:rsidRPr="00991BFE">
        <w:rPr>
          <w:rFonts w:ascii="Times New Roman" w:hAnsi="Times New Roman"/>
          <w:color w:val="000000" w:themeColor="text1"/>
          <w:sz w:val="24"/>
          <w:lang w:val="sq-AL"/>
        </w:rPr>
        <w:t>P</w:t>
      </w:r>
      <w:r w:rsidRPr="00991BFE">
        <w:rPr>
          <w:rFonts w:ascii="Times New Roman" w:hAnsi="Times New Roman"/>
          <w:color w:val="000000" w:themeColor="text1"/>
          <w:sz w:val="24"/>
          <w:lang w:val="sq-AL"/>
        </w:rPr>
        <w:t>randaj, përpjekjet drejt reformimit dhe përmirësimit të mëtejshëm të politikave dhe administrimit të saj duhet të shtohen, për</w:t>
      </w:r>
      <w:r w:rsidRPr="00991BFE">
        <w:rPr>
          <w:rFonts w:ascii="Times New Roman" w:hAnsi="Times New Roman"/>
          <w:sz w:val="24"/>
          <w:lang w:val="sq-AL"/>
        </w:rPr>
        <w:t xml:space="preserve"> </w:t>
      </w:r>
      <w:r w:rsidR="00FB010C" w:rsidRPr="00991BFE">
        <w:rPr>
          <w:rFonts w:ascii="Times New Roman" w:hAnsi="Times New Roman" w:cs="Times New Roman"/>
          <w:sz w:val="24"/>
          <w:szCs w:val="24"/>
          <w:lang w:val="sq-AL"/>
        </w:rPr>
        <w:t>t</w:t>
      </w:r>
      <w:r w:rsidR="00A514A7" w:rsidRPr="00991BFE">
        <w:rPr>
          <w:rFonts w:ascii="Times New Roman" w:hAnsi="Times New Roman" w:cs="Times New Roman"/>
          <w:sz w:val="24"/>
          <w:szCs w:val="24"/>
          <w:lang w:val="sq-AL"/>
        </w:rPr>
        <w:t>’</w:t>
      </w:r>
      <w:r w:rsidR="006D47BB" w:rsidRPr="00991BFE">
        <w:rPr>
          <w:rFonts w:ascii="Times New Roman" w:hAnsi="Times New Roman" w:cs="Times New Roman"/>
          <w:sz w:val="24"/>
          <w:szCs w:val="24"/>
          <w:lang w:val="sq-AL"/>
        </w:rPr>
        <w:t>i</w:t>
      </w:r>
      <w:r w:rsidRPr="00991BFE">
        <w:rPr>
          <w:rFonts w:ascii="Times New Roman" w:hAnsi="Times New Roman"/>
          <w:sz w:val="24"/>
          <w:lang w:val="sq-AL"/>
        </w:rPr>
        <w:t xml:space="preserve"> </w:t>
      </w:r>
      <w:r w:rsidRPr="00991BFE">
        <w:rPr>
          <w:rFonts w:ascii="Times New Roman" w:hAnsi="Times New Roman"/>
          <w:color w:val="000000" w:themeColor="text1"/>
          <w:sz w:val="24"/>
          <w:lang w:val="sq-AL"/>
        </w:rPr>
        <w:t>shërbyer eventualisht konsolidimit financiar të bashkive.</w:t>
      </w:r>
    </w:p>
    <w:p w14:paraId="702EA3D0" w14:textId="411CC60B"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lastRenderedPageBreak/>
        <w:t xml:space="preserve">Praktika të mira në vende të tjera dhe </w:t>
      </w:r>
      <w:r w:rsidRPr="00991BFE">
        <w:rPr>
          <w:rFonts w:ascii="Times New Roman" w:hAnsi="Times New Roman" w:cs="Times New Roman"/>
          <w:sz w:val="24"/>
          <w:szCs w:val="24"/>
          <w:lang w:val="sq-AL"/>
        </w:rPr>
        <w:t>shumë studime</w:t>
      </w:r>
      <w:r w:rsidRPr="00991BFE">
        <w:rPr>
          <w:rFonts w:ascii="Times New Roman" w:hAnsi="Times New Roman"/>
          <w:sz w:val="24"/>
          <w:lang w:val="sq-AL"/>
        </w:rPr>
        <w:t xml:space="preserve"> identifikojnë taksën  mbi pasurinë e paluajtshme, të bazuar në vlerën e tregut, si taksën ideale për pushtetin vendor. Gjithnjë e më shumë, vende anembanë botës, po kuptojnë potencialin e të ardhurave dhe avantazhet e tjera që sjell kjo formë taksimi. Në vijim të kësaj, ekziston një konsensus në rritje midis ekspertëve, sipas të cilit, vendet që mbështeten më shumë te taksimi i pasurive të paluajtshme</w:t>
      </w:r>
      <w:r w:rsidR="004C3D0F" w:rsidRPr="00991BFE">
        <w:rPr>
          <w:rFonts w:ascii="Times New Roman" w:hAnsi="Times New Roman"/>
          <w:sz w:val="24"/>
          <w:lang w:val="sq-AL"/>
        </w:rPr>
        <w:t>,</w:t>
      </w:r>
      <w:r w:rsidRPr="00991BFE">
        <w:rPr>
          <w:rFonts w:ascii="Times New Roman" w:hAnsi="Times New Roman"/>
          <w:sz w:val="24"/>
          <w:lang w:val="sq-AL"/>
        </w:rPr>
        <w:t xml:space="preserve"> priren të kenë rritje më të shpejtë se vendet që mbështeten më shumë në forma të tjera të taksimi.</w:t>
      </w:r>
      <w:r w:rsidRPr="00991BFE">
        <w:rPr>
          <w:rStyle w:val="FootnoteReference"/>
          <w:rFonts w:ascii="Times New Roman" w:hAnsi="Times New Roman"/>
          <w:sz w:val="24"/>
          <w:lang w:val="sq-AL"/>
        </w:rPr>
        <w:footnoteReference w:id="3"/>
      </w:r>
      <w:r w:rsidRPr="00991BFE">
        <w:rPr>
          <w:rFonts w:ascii="Times New Roman" w:hAnsi="Times New Roman"/>
          <w:sz w:val="24"/>
          <w:lang w:val="sq-AL"/>
        </w:rPr>
        <w:t xml:space="preserve"> Dhe kjo për shkak të disa avantazheve të qarta të paraqitura më poshtë: </w:t>
      </w:r>
    </w:p>
    <w:p w14:paraId="484F64CA" w14:textId="2DABFAC8" w:rsidR="00C4771F" w:rsidRPr="00991BFE" w:rsidRDefault="00C4771F" w:rsidP="00B223D6">
      <w:pPr>
        <w:pStyle w:val="ListParagraph"/>
        <w:widowControl w:val="0"/>
        <w:numPr>
          <w:ilvl w:val="0"/>
          <w:numId w:val="11"/>
        </w:numPr>
        <w:spacing w:line="276" w:lineRule="auto"/>
        <w:jc w:val="both"/>
        <w:rPr>
          <w:rFonts w:ascii="Times New Roman" w:hAnsi="Times New Roman"/>
          <w:sz w:val="24"/>
          <w:lang w:val="sq-AL"/>
        </w:rPr>
      </w:pPr>
      <w:r w:rsidRPr="00991BFE">
        <w:rPr>
          <w:rFonts w:ascii="Times New Roman" w:hAnsi="Times New Roman"/>
          <w:b/>
          <w:sz w:val="24"/>
          <w:lang w:val="sq-AL"/>
        </w:rPr>
        <w:t>Taksa mbi pasurinë e paluajtshme e bazuar në vlerën e tregut, është një taksë e drejtë.</w:t>
      </w:r>
      <w:r w:rsidRPr="00991BFE">
        <w:rPr>
          <w:rFonts w:ascii="Times New Roman" w:hAnsi="Times New Roman"/>
          <w:sz w:val="24"/>
          <w:lang w:val="sq-AL"/>
        </w:rPr>
        <w:t xml:space="preserve"> Regjimi tatimor që zbatohet aktualisht në Shqipëri i vendos në shumë raste të njëjtën barrë tatimore, si një personi që ka pasuri të paluajtshme në qendër të qytetit, ashtu dhe një personi që ka pasuri të paluajtshme me të njëjtat karakteristika, por në periferi të qytetit, me vlerë tregu më të ulët. Një sistem taksimi i bazuar në vlerën e tregut të pasurive të paluajtshme, ofron më shumë drejtësi dhe mundëson një diferencim më të mirë të barrës tatimore për pasuri të </w:t>
      </w:r>
      <w:r w:rsidRPr="00991BFE">
        <w:rPr>
          <w:rFonts w:ascii="Times New Roman" w:hAnsi="Times New Roman"/>
          <w:color w:val="000000" w:themeColor="text1"/>
          <w:sz w:val="24"/>
          <w:lang w:val="sq-AL"/>
        </w:rPr>
        <w:t xml:space="preserve">paluajtshme me vlera të ndryshme tregu, duke bërë qe barra tatimore të bjerë kryesisht mbi ata që kanë të ardhura të mira, apo aftësinë për të paguar, meqenëse pasuria e paluajtshme është shpesh </w:t>
      </w:r>
      <w:r w:rsidRPr="00991BFE">
        <w:rPr>
          <w:rFonts w:ascii="Times New Roman" w:hAnsi="Times New Roman" w:cs="Times New Roman"/>
          <w:color w:val="000000" w:themeColor="text1"/>
          <w:sz w:val="24"/>
          <w:szCs w:val="24"/>
          <w:lang w:val="sq-AL"/>
        </w:rPr>
        <w:t xml:space="preserve">pasqyrim dhe </w:t>
      </w:r>
      <w:r w:rsidRPr="00991BFE">
        <w:rPr>
          <w:rFonts w:ascii="Times New Roman" w:hAnsi="Times New Roman"/>
          <w:color w:val="000000" w:themeColor="text1"/>
          <w:sz w:val="24"/>
          <w:lang w:val="sq-AL"/>
        </w:rPr>
        <w:t>depozita parësore e pasurisë së taksapaguesve</w:t>
      </w:r>
      <w:r w:rsidRPr="00991BFE">
        <w:rPr>
          <w:rFonts w:ascii="Times New Roman" w:hAnsi="Times New Roman"/>
          <w:sz w:val="24"/>
          <w:lang w:val="sq-AL"/>
        </w:rPr>
        <w:t xml:space="preserve">. Kjo lejon që taksa </w:t>
      </w:r>
      <w:r w:rsidR="00C0114C" w:rsidRPr="00991BFE">
        <w:rPr>
          <w:rFonts w:ascii="Times New Roman" w:hAnsi="Times New Roman"/>
          <w:sz w:val="24"/>
          <w:lang w:val="sq-AL"/>
        </w:rPr>
        <w:t>mbi</w:t>
      </w:r>
      <w:r w:rsidRPr="00991BFE">
        <w:rPr>
          <w:rFonts w:ascii="Times New Roman" w:hAnsi="Times New Roman"/>
          <w:sz w:val="24"/>
          <w:lang w:val="sq-AL"/>
        </w:rPr>
        <w:t xml:space="preserve"> pasuri</w:t>
      </w:r>
      <w:r w:rsidR="00C0114C" w:rsidRPr="00991BFE">
        <w:rPr>
          <w:rFonts w:ascii="Times New Roman" w:hAnsi="Times New Roman"/>
          <w:sz w:val="24"/>
          <w:lang w:val="sq-AL"/>
        </w:rPr>
        <w:t>n</w:t>
      </w:r>
      <w:r w:rsidRPr="00991BFE">
        <w:rPr>
          <w:rFonts w:ascii="Times New Roman" w:hAnsi="Times New Roman"/>
          <w:sz w:val="24"/>
          <w:lang w:val="sq-AL"/>
        </w:rPr>
        <w:t>ë</w:t>
      </w:r>
      <w:r w:rsidR="00C0114C" w:rsidRPr="00991BFE">
        <w:rPr>
          <w:rFonts w:ascii="Times New Roman" w:hAnsi="Times New Roman"/>
          <w:sz w:val="24"/>
          <w:lang w:val="sq-AL"/>
        </w:rPr>
        <w:t xml:space="preserve"> e paluajtshme</w:t>
      </w:r>
      <w:r w:rsidRPr="00991BFE">
        <w:rPr>
          <w:rFonts w:ascii="Times New Roman" w:hAnsi="Times New Roman"/>
          <w:sz w:val="24"/>
          <w:lang w:val="sq-AL"/>
        </w:rPr>
        <w:t xml:space="preserve"> të funksionojë si një formë taksimi mbi përfitimet (</w:t>
      </w:r>
      <w:r w:rsidRPr="00991BFE">
        <w:rPr>
          <w:rFonts w:ascii="Times New Roman" w:hAnsi="Times New Roman"/>
          <w:i/>
          <w:sz w:val="24"/>
          <w:lang w:val="sq-AL"/>
        </w:rPr>
        <w:t>shërbimet dhe investimet lokale</w:t>
      </w:r>
      <w:r w:rsidRPr="00991BFE">
        <w:rPr>
          <w:rFonts w:ascii="Times New Roman" w:hAnsi="Times New Roman"/>
          <w:sz w:val="24"/>
          <w:lang w:val="sq-AL"/>
        </w:rPr>
        <w:t xml:space="preserve">), duke shpërndarë </w:t>
      </w:r>
      <w:r w:rsidR="00141561" w:rsidRPr="00991BFE">
        <w:rPr>
          <w:rFonts w:ascii="Times New Roman" w:hAnsi="Times New Roman"/>
          <w:sz w:val="24"/>
          <w:lang w:val="sq-AL"/>
        </w:rPr>
        <w:t xml:space="preserve">në mënyrë më të drejtë </w:t>
      </w:r>
      <w:r w:rsidRPr="00991BFE">
        <w:rPr>
          <w:rFonts w:ascii="Times New Roman" w:hAnsi="Times New Roman"/>
          <w:sz w:val="24"/>
          <w:lang w:val="sq-AL"/>
        </w:rPr>
        <w:t xml:space="preserve">barrën tatimore midis pasurive të paluajtshme me përfitime te ndryshme siç pasqyrohet edhe në vlerat e ndryshme që ato kanë. </w:t>
      </w:r>
    </w:p>
    <w:p w14:paraId="28DA6789" w14:textId="77777777" w:rsidR="00C4771F" w:rsidRPr="00991BFE" w:rsidRDefault="00C4771F" w:rsidP="00C4771F">
      <w:pPr>
        <w:pStyle w:val="ListParagraph"/>
        <w:spacing w:line="276" w:lineRule="auto"/>
        <w:jc w:val="both"/>
        <w:rPr>
          <w:rFonts w:ascii="Times New Roman" w:hAnsi="Times New Roman"/>
          <w:sz w:val="24"/>
          <w:lang w:val="sq-AL"/>
        </w:rPr>
      </w:pPr>
    </w:p>
    <w:p w14:paraId="5DC2B78D" w14:textId="0DEEEF46" w:rsidR="00C4771F" w:rsidRPr="00991BFE" w:rsidRDefault="00C4771F" w:rsidP="00C4771F">
      <w:pPr>
        <w:pStyle w:val="ListParagraph"/>
        <w:numPr>
          <w:ilvl w:val="0"/>
          <w:numId w:val="11"/>
        </w:numPr>
        <w:spacing w:line="276" w:lineRule="auto"/>
        <w:jc w:val="both"/>
        <w:rPr>
          <w:rFonts w:ascii="Times New Roman" w:hAnsi="Times New Roman"/>
          <w:sz w:val="24"/>
          <w:lang w:val="sq-AL"/>
        </w:rPr>
      </w:pPr>
      <w:r w:rsidRPr="00991BFE">
        <w:rPr>
          <w:rFonts w:ascii="Times New Roman" w:hAnsi="Times New Roman"/>
          <w:b/>
          <w:sz w:val="24"/>
          <w:lang w:val="sq-AL"/>
        </w:rPr>
        <w:t>Taksa mbi pasurinë e paluajtshme e bazuar në vlerën e tregut, ka potencial të fortë për rritjen e të ardhurave.</w:t>
      </w:r>
      <w:r w:rsidRPr="00991BFE">
        <w:rPr>
          <w:rFonts w:ascii="Times New Roman" w:hAnsi="Times New Roman"/>
          <w:sz w:val="24"/>
          <w:lang w:val="sq-AL"/>
        </w:rPr>
        <w:t xml:space="preserve"> Baza tatimore e një takse të bazuar në vlerën e tregut, </w:t>
      </w:r>
      <w:r w:rsidR="001F0FB1" w:rsidRPr="00991BFE">
        <w:rPr>
          <w:rFonts w:ascii="Times New Roman" w:hAnsi="Times New Roman" w:cs="Times New Roman"/>
          <w:color w:val="000000" w:themeColor="text1"/>
          <w:sz w:val="24"/>
          <w:szCs w:val="24"/>
          <w:lang w:val="sq-AL"/>
        </w:rPr>
        <w:t>përfshin</w:t>
      </w:r>
      <w:r w:rsidRPr="00991BFE">
        <w:rPr>
          <w:rFonts w:ascii="Times New Roman" w:hAnsi="Times New Roman"/>
          <w:sz w:val="24"/>
          <w:lang w:val="sq-AL"/>
        </w:rPr>
        <w:t xml:space="preserve"> vlerën e shtuar të pasurive të paluajtshme nga investimet kapitale, shërbimet apo programet e financuara nga bashkia dhe qeveria, që nuk merren parasysh nga tarifa, taksa apo tatime të tjera që aplikohen sot. Në këtë kuadër, është themelore që rritja konstante e vlerës së tregut të pasurive të paluajtshme, veçanërisht në zonat që po zhvillohen apo urbanizohen me shpejtësi, të </w:t>
      </w:r>
      <w:r w:rsidRPr="00991BFE">
        <w:rPr>
          <w:rFonts w:ascii="Times New Roman" w:hAnsi="Times New Roman" w:cs="Times New Roman"/>
          <w:sz w:val="24"/>
          <w:szCs w:val="24"/>
          <w:lang w:val="sq-AL"/>
        </w:rPr>
        <w:t>identifikohet saktësisht</w:t>
      </w:r>
      <w:r w:rsidRPr="00991BFE">
        <w:rPr>
          <w:rFonts w:ascii="Times New Roman" w:hAnsi="Times New Roman"/>
          <w:sz w:val="24"/>
          <w:lang w:val="sq-AL"/>
        </w:rPr>
        <w:t xml:space="preserve"> dhe eventualisht të taksohet, për të siguruar financim për infrastrukturën dhe për shërbime shumë të nevojshme urbane. Kjo është e mundur vetëm përmes implementimit të një takse pasurie të bazuar në vlerën e tregut të pasurisë së paluajtshme. Nga ana tjetër, rritja e drejtësisë së sistemit për shkak të taksimit të pasurive të paluajtshme duke u bazuar në vlerën e tyre të tregut, pritet të ndikojë në rritjen e nivelit të pranueshmërisë vullnetare nga ana e taksapaguesve, e për rrjedhojë, të të ardhurave nga kjo taksë.</w:t>
      </w:r>
    </w:p>
    <w:p w14:paraId="120892B0" w14:textId="77777777" w:rsidR="00C4771F" w:rsidRPr="00991BFE" w:rsidRDefault="00C4771F" w:rsidP="00C4771F">
      <w:pPr>
        <w:pStyle w:val="ListParagraph"/>
        <w:spacing w:line="276" w:lineRule="auto"/>
        <w:rPr>
          <w:rFonts w:ascii="Times New Roman" w:hAnsi="Times New Roman"/>
          <w:b/>
          <w:sz w:val="24"/>
          <w:lang w:val="sq-AL"/>
        </w:rPr>
      </w:pPr>
    </w:p>
    <w:p w14:paraId="6DF02414" w14:textId="04295F72" w:rsidR="00C4771F" w:rsidRPr="00991BFE" w:rsidRDefault="00C4771F" w:rsidP="00C4771F">
      <w:pPr>
        <w:pStyle w:val="ListParagraph"/>
        <w:numPr>
          <w:ilvl w:val="0"/>
          <w:numId w:val="11"/>
        </w:numPr>
        <w:spacing w:line="276" w:lineRule="auto"/>
        <w:jc w:val="both"/>
        <w:rPr>
          <w:rFonts w:ascii="Times New Roman" w:hAnsi="Times New Roman"/>
          <w:sz w:val="24"/>
          <w:lang w:val="sq-AL"/>
        </w:rPr>
      </w:pPr>
      <w:r w:rsidRPr="00991BFE">
        <w:rPr>
          <w:rFonts w:ascii="Times New Roman" w:hAnsi="Times New Roman"/>
          <w:b/>
          <w:sz w:val="24"/>
          <w:lang w:val="sq-AL"/>
        </w:rPr>
        <w:lastRenderedPageBreak/>
        <w:t>Taksa mbi pasurinë e paluajtshme e bazuar në vlerën e tregut, stimulon shfrytëzimin produktiv të pasurive të paluajtshme.</w:t>
      </w:r>
      <w:r w:rsidRPr="00991BFE">
        <w:rPr>
          <w:rFonts w:ascii="Times New Roman" w:hAnsi="Times New Roman"/>
          <w:sz w:val="24"/>
          <w:lang w:val="sq-AL"/>
        </w:rPr>
        <w:t xml:space="preserve"> Duke qenë se taksa </w:t>
      </w:r>
      <w:r w:rsidR="00C0114C" w:rsidRPr="00991BFE">
        <w:rPr>
          <w:rFonts w:ascii="Times New Roman" w:hAnsi="Times New Roman"/>
          <w:sz w:val="24"/>
          <w:lang w:val="sq-AL"/>
        </w:rPr>
        <w:t xml:space="preserve">mbi </w:t>
      </w:r>
      <w:r w:rsidRPr="00991BFE">
        <w:rPr>
          <w:rFonts w:ascii="Times New Roman" w:hAnsi="Times New Roman"/>
          <w:sz w:val="24"/>
          <w:lang w:val="sq-AL"/>
        </w:rPr>
        <w:t>pasuri</w:t>
      </w:r>
      <w:r w:rsidR="00C0114C" w:rsidRPr="00991BFE">
        <w:rPr>
          <w:rFonts w:ascii="Times New Roman" w:hAnsi="Times New Roman"/>
          <w:sz w:val="24"/>
          <w:lang w:val="sq-AL"/>
        </w:rPr>
        <w:t>n</w:t>
      </w:r>
      <w:r w:rsidRPr="00991BFE">
        <w:rPr>
          <w:rFonts w:ascii="Times New Roman" w:hAnsi="Times New Roman"/>
          <w:sz w:val="24"/>
          <w:lang w:val="sq-AL"/>
        </w:rPr>
        <w:t xml:space="preserve">ë </w:t>
      </w:r>
      <w:r w:rsidR="00C0114C" w:rsidRPr="00991BFE">
        <w:rPr>
          <w:rFonts w:ascii="Times New Roman" w:hAnsi="Times New Roman"/>
          <w:sz w:val="24"/>
          <w:lang w:val="sq-AL"/>
        </w:rPr>
        <w:t xml:space="preserve">e paluajtshme </w:t>
      </w:r>
      <w:r w:rsidRPr="00991BFE">
        <w:rPr>
          <w:rFonts w:ascii="Times New Roman" w:hAnsi="Times New Roman"/>
          <w:sz w:val="24"/>
          <w:lang w:val="sq-AL"/>
        </w:rPr>
        <w:t xml:space="preserve">llogaritet duke u bazuar në vlerën e tregut të </w:t>
      </w:r>
      <w:r w:rsidRPr="00991BFE">
        <w:rPr>
          <w:rFonts w:ascii="Times New Roman" w:hAnsi="Times New Roman" w:cs="Times New Roman"/>
          <w:sz w:val="24"/>
          <w:szCs w:val="24"/>
          <w:lang w:val="sq-AL"/>
        </w:rPr>
        <w:t>pasurive të paluajtshme</w:t>
      </w:r>
      <w:r w:rsidRPr="00991BFE">
        <w:rPr>
          <w:rFonts w:ascii="Times New Roman" w:hAnsi="Times New Roman"/>
          <w:sz w:val="24"/>
          <w:lang w:val="sq-AL"/>
        </w:rPr>
        <w:t>, pra duke marrë në konsideratë përdorimin më të mirë të pasurisë së paluajtshme, ajo do të ofrojë një nxitje të fortë për të shfrytëzuar pronat në mënyrë produktive (</w:t>
      </w:r>
      <w:r w:rsidRPr="00991BFE">
        <w:rPr>
          <w:rFonts w:ascii="Times New Roman" w:hAnsi="Times New Roman"/>
          <w:i/>
          <w:sz w:val="24"/>
          <w:lang w:val="sq-AL"/>
        </w:rPr>
        <w:t>psh. tokat dhe ndërtesat e pashfrytëzuara</w:t>
      </w:r>
      <w:r w:rsidRPr="00991BFE">
        <w:rPr>
          <w:rFonts w:ascii="Times New Roman" w:hAnsi="Times New Roman"/>
          <w:sz w:val="24"/>
          <w:lang w:val="sq-AL"/>
        </w:rPr>
        <w:t>). Në këtë kuadër ajo mund të de</w:t>
      </w:r>
      <w:r w:rsidRPr="00991BFE">
        <w:rPr>
          <w:rFonts w:ascii="Times New Roman" w:hAnsi="Times New Roman" w:cs="Times New Roman"/>
          <w:sz w:val="24"/>
          <w:szCs w:val="24"/>
          <w:lang w:val="sq-AL"/>
        </w:rPr>
        <w:t>-</w:t>
      </w:r>
      <w:r w:rsidRPr="00991BFE">
        <w:rPr>
          <w:rFonts w:ascii="Times New Roman" w:hAnsi="Times New Roman"/>
          <w:sz w:val="24"/>
          <w:lang w:val="sq-AL"/>
        </w:rPr>
        <w:t>motivojë gjithashtu fryrjen e pajustifikuar të çmimeve të pasurive të paluajtshme. Taksa e re pasurisë do të përbejë një kosto domethënëse për pronarët dhe mund ta bëj spekulimin me çmimet më të rrallë.</w:t>
      </w:r>
    </w:p>
    <w:p w14:paraId="30A511AC" w14:textId="77777777" w:rsidR="00C4771F" w:rsidRPr="00991BFE" w:rsidRDefault="00C4771F" w:rsidP="00C4771F">
      <w:pPr>
        <w:pStyle w:val="ListParagraph"/>
        <w:spacing w:line="276" w:lineRule="auto"/>
        <w:rPr>
          <w:rFonts w:ascii="Times New Roman" w:hAnsi="Times New Roman"/>
          <w:b/>
          <w:sz w:val="24"/>
          <w:lang w:val="sq-AL"/>
        </w:rPr>
      </w:pPr>
    </w:p>
    <w:p w14:paraId="41D97943" w14:textId="184F41D6" w:rsidR="00C85E73" w:rsidRPr="00991BFE" w:rsidRDefault="00C4771F" w:rsidP="00C85E73">
      <w:pPr>
        <w:pStyle w:val="ListParagraph"/>
        <w:numPr>
          <w:ilvl w:val="0"/>
          <w:numId w:val="11"/>
        </w:numPr>
        <w:spacing w:line="276" w:lineRule="auto"/>
        <w:jc w:val="both"/>
        <w:rPr>
          <w:rFonts w:ascii="Times New Roman" w:hAnsi="Times New Roman"/>
          <w:b/>
          <w:sz w:val="24"/>
          <w:lang w:val="sq-AL"/>
        </w:rPr>
      </w:pPr>
      <w:r w:rsidRPr="00991BFE">
        <w:rPr>
          <w:rFonts w:ascii="Times New Roman" w:hAnsi="Times New Roman"/>
          <w:b/>
          <w:sz w:val="24"/>
          <w:lang w:val="sq-AL"/>
        </w:rPr>
        <w:t>Taksa mbi pasurinë e paluajtshme siguron një burim të vazhdueshëm financimi për pushtetin vendor</w:t>
      </w:r>
      <w:r w:rsidR="00D75267" w:rsidRPr="00991BFE">
        <w:rPr>
          <w:rFonts w:ascii="Times New Roman" w:hAnsi="Times New Roman"/>
          <w:b/>
          <w:sz w:val="24"/>
          <w:lang w:val="sq-AL"/>
        </w:rPr>
        <w:t xml:space="preserve"> dhe nuk  </w:t>
      </w:r>
      <w:r w:rsidR="00F53117" w:rsidRPr="00991BFE">
        <w:rPr>
          <w:rFonts w:ascii="Times New Roman" w:hAnsi="Times New Roman"/>
          <w:b/>
          <w:sz w:val="24"/>
          <w:lang w:val="sq-AL"/>
        </w:rPr>
        <w:t>mund të shmanget lehtësisht</w:t>
      </w:r>
      <w:r w:rsidRPr="00991BFE">
        <w:rPr>
          <w:rFonts w:ascii="Times New Roman" w:hAnsi="Times New Roman"/>
          <w:b/>
          <w:sz w:val="24"/>
          <w:lang w:val="sq-AL"/>
        </w:rPr>
        <w:t>.</w:t>
      </w:r>
      <w:r w:rsidRPr="00991BFE">
        <w:rPr>
          <w:rFonts w:ascii="Times New Roman" w:hAnsi="Times New Roman"/>
          <w:sz w:val="24"/>
          <w:lang w:val="sq-AL"/>
        </w:rPr>
        <w:t xml:space="preserve"> </w:t>
      </w:r>
      <w:r w:rsidR="00822CE4" w:rsidRPr="00991BFE">
        <w:rPr>
          <w:rFonts w:ascii="Times New Roman" w:hAnsi="Times New Roman"/>
          <w:sz w:val="24"/>
          <w:lang w:val="sq-AL"/>
        </w:rPr>
        <w:t>T</w:t>
      </w:r>
      <w:r w:rsidRPr="00991BFE">
        <w:rPr>
          <w:rFonts w:ascii="Times New Roman" w:hAnsi="Times New Roman"/>
          <w:sz w:val="24"/>
          <w:lang w:val="sq-AL"/>
        </w:rPr>
        <w:t xml:space="preserve">ë ardhurat nga taksa mbi pasurinë e paluajtshme </w:t>
      </w:r>
      <w:r w:rsidRPr="00991BFE">
        <w:rPr>
          <w:rFonts w:ascii="Times New Roman" w:hAnsi="Times New Roman" w:cs="Times New Roman"/>
          <w:sz w:val="24"/>
          <w:szCs w:val="24"/>
          <w:lang w:val="sq-AL"/>
        </w:rPr>
        <w:t xml:space="preserve">janë </w:t>
      </w:r>
      <w:r w:rsidRPr="00991BFE">
        <w:rPr>
          <w:rFonts w:ascii="Times New Roman" w:hAnsi="Times New Roman"/>
          <w:sz w:val="24"/>
          <w:lang w:val="sq-AL"/>
        </w:rPr>
        <w:t xml:space="preserve">përgjithësisht të parashikueshme dhe të qëndrueshme. </w:t>
      </w:r>
      <w:r w:rsidR="00C85E73" w:rsidRPr="00991BFE">
        <w:rPr>
          <w:rFonts w:ascii="Times New Roman" w:hAnsi="Times New Roman"/>
          <w:sz w:val="24"/>
          <w:lang w:val="sq-AL"/>
        </w:rPr>
        <w:t>Po ashtu, duke qenë se pasuria e paluajtshme nuk mund të</w:t>
      </w:r>
      <w:r w:rsidR="004C3D0F" w:rsidRPr="00991BFE">
        <w:rPr>
          <w:rFonts w:ascii="Times New Roman" w:hAnsi="Times New Roman"/>
          <w:sz w:val="24"/>
          <w:lang w:val="sq-AL"/>
        </w:rPr>
        <w:t xml:space="preserve"> fshihet,</w:t>
      </w:r>
      <w:r w:rsidRPr="00991BFE">
        <w:rPr>
          <w:rFonts w:ascii="Times New Roman" w:hAnsi="Times New Roman"/>
          <w:sz w:val="24"/>
          <w:lang w:val="sq-AL"/>
        </w:rPr>
        <w:t xml:space="preserve"> kjo takse renditet midis taksave që kanë nivelin më të ulët të shmangies</w:t>
      </w:r>
      <w:r w:rsidR="00C85E73" w:rsidRPr="00991BFE">
        <w:rPr>
          <w:rFonts w:ascii="Times New Roman" w:hAnsi="Times New Roman"/>
          <w:sz w:val="24"/>
          <w:lang w:val="sq-AL"/>
        </w:rPr>
        <w:t xml:space="preserve">. </w:t>
      </w:r>
    </w:p>
    <w:p w14:paraId="6A1711EA" w14:textId="77777777" w:rsidR="00C85E73" w:rsidRPr="00991BFE" w:rsidRDefault="00C85E73" w:rsidP="00B223D6">
      <w:pPr>
        <w:pStyle w:val="ListParagraph"/>
        <w:spacing w:line="276" w:lineRule="auto"/>
        <w:jc w:val="both"/>
        <w:rPr>
          <w:rFonts w:ascii="Times New Roman" w:hAnsi="Times New Roman"/>
          <w:b/>
          <w:sz w:val="24"/>
          <w:lang w:val="sq-AL"/>
        </w:rPr>
      </w:pPr>
    </w:p>
    <w:p w14:paraId="0BA341F9" w14:textId="75218DC1" w:rsidR="00C4771F" w:rsidRPr="00991BFE" w:rsidRDefault="00C4771F" w:rsidP="00C4771F">
      <w:pPr>
        <w:pStyle w:val="ListParagraph"/>
        <w:numPr>
          <w:ilvl w:val="0"/>
          <w:numId w:val="11"/>
        </w:numPr>
        <w:spacing w:line="276" w:lineRule="auto"/>
        <w:jc w:val="both"/>
        <w:rPr>
          <w:rFonts w:ascii="Times New Roman" w:hAnsi="Times New Roman"/>
          <w:b/>
          <w:sz w:val="24"/>
          <w:lang w:val="sq-AL"/>
        </w:rPr>
      </w:pPr>
      <w:r w:rsidRPr="00991BFE">
        <w:rPr>
          <w:rFonts w:ascii="Times New Roman" w:hAnsi="Times New Roman"/>
          <w:b/>
          <w:sz w:val="24"/>
          <w:lang w:val="sq-AL"/>
        </w:rPr>
        <w:t>Taksa mbi pasurinë e paluajtshme inkurajon shërbime/investime të përgjegjshme për qytetaret dhe është instrumenti tatimor më pak deformues.</w:t>
      </w:r>
      <w:r w:rsidRPr="00991BFE">
        <w:rPr>
          <w:rFonts w:ascii="Times New Roman" w:hAnsi="Times New Roman"/>
          <w:sz w:val="24"/>
          <w:lang w:val="sq-AL"/>
        </w:rPr>
        <w:t xml:space="preserve"> Taksa mbi  pasurinë e paluajtshme është e dukshme dhe politikisht e ndjeshme. Për këtë arsye, vendimmarrësit vendorë kanë një shtysë të fortë për të siguruar shërbime dhe investime publike për qytetarët, duke menaxhuar në mënyrë të përgjegjshme dhe efiçente të ardhurat që i financojnë ato. Së fundmi, taksa  </w:t>
      </w:r>
      <w:r w:rsidR="00C0114C" w:rsidRPr="00991BFE">
        <w:rPr>
          <w:rFonts w:ascii="Times New Roman" w:hAnsi="Times New Roman"/>
          <w:sz w:val="24"/>
          <w:lang w:val="sq-AL"/>
        </w:rPr>
        <w:t xml:space="preserve">mbi </w:t>
      </w:r>
      <w:r w:rsidRPr="00991BFE">
        <w:rPr>
          <w:rFonts w:ascii="Times New Roman" w:hAnsi="Times New Roman"/>
          <w:sz w:val="24"/>
          <w:lang w:val="sq-AL"/>
        </w:rPr>
        <w:t>pasuri</w:t>
      </w:r>
      <w:r w:rsidR="00C0114C" w:rsidRPr="00991BFE">
        <w:rPr>
          <w:rFonts w:ascii="Times New Roman" w:hAnsi="Times New Roman"/>
          <w:sz w:val="24"/>
          <w:lang w:val="sq-AL"/>
        </w:rPr>
        <w:t>n</w:t>
      </w:r>
      <w:r w:rsidRPr="00991BFE">
        <w:rPr>
          <w:rFonts w:ascii="Times New Roman" w:hAnsi="Times New Roman"/>
          <w:sz w:val="24"/>
          <w:lang w:val="sq-AL"/>
        </w:rPr>
        <w:t xml:space="preserve">ë </w:t>
      </w:r>
      <w:r w:rsidR="00C0114C" w:rsidRPr="00991BFE">
        <w:rPr>
          <w:rFonts w:ascii="Times New Roman" w:hAnsi="Times New Roman"/>
          <w:sz w:val="24"/>
          <w:lang w:val="sq-AL"/>
        </w:rPr>
        <w:t xml:space="preserve">e paluajtshme </w:t>
      </w:r>
      <w:r w:rsidRPr="00991BFE">
        <w:rPr>
          <w:rFonts w:ascii="Times New Roman" w:hAnsi="Times New Roman"/>
          <w:sz w:val="24"/>
          <w:lang w:val="sq-AL"/>
        </w:rPr>
        <w:t xml:space="preserve">nuk ndikon zakonisht në vendimet e aktorëve ekonomikë dhe konsiderohet instrumenti tatimor më pak deformues në raport me taksa apo tatime të tjera. </w:t>
      </w:r>
    </w:p>
    <w:p w14:paraId="11269B17" w14:textId="518ABB3E"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Për sa u parashtrua më lart dhe në përputhje me rekomandimet e FMN-së, Ministria e Financave ka ndërmarrë një nismë të rëndësishme për reformimin e sistemit të taksimit të pasurive të paluajtshme në Shqipëri. Qëllimi i kësaj nisme është të mbështesë ndërtimin e një sistemi modern, funksional, transparent dhe të qëndrueshëm për taksimin e pasurive të paluajtshme, bazuar në vlerën e tyre të tregut, për të mundësuar rritjen e nivelit aktual të të ardhurave nga taksa mbi pasurinë e paluajtshme dhe garantuar në njëjtën kohë, më shumë drejtësi për taksapaguesit e më pak kosto për administrimin e taksës. Kjo do të çojë në fuqizimin e njësive të vetëqeverisjes vendore dhe transformimin e tyre në njësi të konsoliduara financiare në të ardhmen.</w:t>
      </w:r>
    </w:p>
    <w:p w14:paraId="11188C96" w14:textId="30A1623F"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Për këto arsye, Ministria e Financave</w:t>
      </w:r>
      <w:r w:rsidR="00991BFE">
        <w:rPr>
          <w:rFonts w:ascii="Times New Roman" w:hAnsi="Times New Roman"/>
          <w:sz w:val="24"/>
          <w:lang w:val="sq-AL"/>
        </w:rPr>
        <w:t xml:space="preserve"> </w:t>
      </w:r>
      <w:r w:rsidRPr="00991BFE">
        <w:rPr>
          <w:rFonts w:ascii="Times New Roman" w:hAnsi="Times New Roman"/>
          <w:sz w:val="24"/>
          <w:lang w:val="sq-AL"/>
        </w:rPr>
        <w:t>dhe Drejtoria e Përgjithshme e Taksës së Pasurisë, përgatitën projektligjin e taksës mbi pasurinë ë paluajtshme, me</w:t>
      </w:r>
      <w:r w:rsidR="00BF47CC">
        <w:rPr>
          <w:rFonts w:ascii="Times New Roman" w:hAnsi="Times New Roman"/>
          <w:sz w:val="24"/>
          <w:lang w:val="sq-AL"/>
        </w:rPr>
        <w:t xml:space="preserve"> </w:t>
      </w:r>
      <w:r w:rsidR="006A02E0" w:rsidRPr="00991BFE">
        <w:rPr>
          <w:rFonts w:ascii="Times New Roman" w:hAnsi="Times New Roman"/>
          <w:sz w:val="24"/>
          <w:lang w:val="sq-AL"/>
        </w:rPr>
        <w:t xml:space="preserve">synimin për të krijuar parakushtet e nevojshme </w:t>
      </w:r>
      <w:r w:rsidRPr="00991BFE">
        <w:rPr>
          <w:rFonts w:ascii="Times New Roman" w:hAnsi="Times New Roman"/>
          <w:sz w:val="24"/>
          <w:lang w:val="sq-AL"/>
        </w:rPr>
        <w:t xml:space="preserve">për ndërtimin e një sistemi </w:t>
      </w:r>
      <w:r w:rsidR="006A02E0" w:rsidRPr="00991BFE">
        <w:rPr>
          <w:rFonts w:ascii="Times New Roman" w:hAnsi="Times New Roman"/>
          <w:sz w:val="24"/>
          <w:lang w:val="sq-AL"/>
        </w:rPr>
        <w:t xml:space="preserve">modern, </w:t>
      </w:r>
      <w:r w:rsidRPr="00991BFE">
        <w:rPr>
          <w:rFonts w:ascii="Times New Roman" w:hAnsi="Times New Roman"/>
          <w:sz w:val="24"/>
          <w:lang w:val="sq-AL"/>
        </w:rPr>
        <w:t>të drejtë, efi</w:t>
      </w:r>
      <w:r w:rsidR="00B26478" w:rsidRPr="00991BFE">
        <w:rPr>
          <w:rFonts w:ascii="Times New Roman" w:hAnsi="Times New Roman"/>
          <w:sz w:val="24"/>
          <w:lang w:val="sq-AL"/>
        </w:rPr>
        <w:t>kas</w:t>
      </w:r>
      <w:r w:rsidRPr="00991BFE">
        <w:rPr>
          <w:rFonts w:ascii="Times New Roman" w:hAnsi="Times New Roman"/>
          <w:sz w:val="24"/>
          <w:lang w:val="sq-AL"/>
        </w:rPr>
        <w:t xml:space="preserve">, </w:t>
      </w:r>
      <w:r w:rsidR="006A02E0" w:rsidRPr="00991BFE">
        <w:rPr>
          <w:rFonts w:ascii="Times New Roman" w:hAnsi="Times New Roman"/>
          <w:sz w:val="24"/>
          <w:lang w:val="sq-AL"/>
        </w:rPr>
        <w:t>funksional</w:t>
      </w:r>
      <w:r w:rsidRPr="00991BFE">
        <w:rPr>
          <w:rFonts w:ascii="Times New Roman" w:hAnsi="Times New Roman"/>
          <w:sz w:val="24"/>
          <w:lang w:val="sq-AL"/>
        </w:rPr>
        <w:t>, transparent dhe të qëndrueshëm për taksimin e pasurive të paluajtshme.</w:t>
      </w:r>
    </w:p>
    <w:p w14:paraId="75D6180D" w14:textId="77777777"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Miratimi i këtij projektligji do ti hapë rrugën materializimit të reformës në këtë fushë.</w:t>
      </w:r>
    </w:p>
    <w:p w14:paraId="3165A874" w14:textId="77777777" w:rsidR="00C4771F" w:rsidRPr="00991BFE" w:rsidRDefault="00C4771F" w:rsidP="00C4771F">
      <w:pPr>
        <w:spacing w:line="276" w:lineRule="auto"/>
        <w:jc w:val="both"/>
        <w:rPr>
          <w:rFonts w:ascii="Times New Roman" w:hAnsi="Times New Roman"/>
          <w:sz w:val="24"/>
          <w:lang w:val="sq-AL"/>
        </w:rPr>
      </w:pPr>
    </w:p>
    <w:p w14:paraId="23FC3C30" w14:textId="77777777" w:rsidR="00C4771F" w:rsidRPr="00991BFE" w:rsidRDefault="00C4771F" w:rsidP="00C4771F">
      <w:pPr>
        <w:pStyle w:val="ListParagraph"/>
        <w:numPr>
          <w:ilvl w:val="0"/>
          <w:numId w:val="12"/>
        </w:numPr>
        <w:spacing w:line="276" w:lineRule="auto"/>
        <w:jc w:val="both"/>
        <w:rPr>
          <w:rFonts w:ascii="Times New Roman" w:hAnsi="Times New Roman"/>
          <w:b/>
          <w:sz w:val="24"/>
          <w:lang w:val="sq-AL"/>
        </w:rPr>
      </w:pPr>
      <w:r w:rsidRPr="00991BFE">
        <w:rPr>
          <w:rFonts w:ascii="Times New Roman" w:hAnsi="Times New Roman"/>
          <w:b/>
          <w:sz w:val="24"/>
          <w:lang w:val="sq-AL"/>
        </w:rPr>
        <w:lastRenderedPageBreak/>
        <w:t>VLERËSIMI I PROJEKTLIGJIT NË RAPORT ME PROGRAMIN POLITIK TË KËSHILLIT TË MINISTRAVE, ME PROGRAMIN ANALITIK TË AKTEVE DHE DOKUMENTAVE TË TJERË</w:t>
      </w:r>
    </w:p>
    <w:p w14:paraId="7DC8C353" w14:textId="1EC958EC" w:rsidR="00A05836" w:rsidRPr="00F47886" w:rsidRDefault="00B26478" w:rsidP="00C4771F">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w:t>
      </w:r>
      <w:r w:rsidR="00C4771F" w:rsidRPr="00991BFE">
        <w:rPr>
          <w:rFonts w:ascii="Times New Roman" w:hAnsi="Times New Roman" w:cs="Times New Roman"/>
          <w:sz w:val="24"/>
          <w:szCs w:val="24"/>
          <w:lang w:val="sq-AL"/>
        </w:rPr>
        <w:t>rojektligj</w:t>
      </w:r>
      <w:r w:rsidRPr="00991BFE">
        <w:rPr>
          <w:rFonts w:ascii="Times New Roman" w:hAnsi="Times New Roman" w:cs="Times New Roman"/>
          <w:sz w:val="24"/>
          <w:szCs w:val="24"/>
          <w:lang w:val="sq-AL"/>
        </w:rPr>
        <w:t>i</w:t>
      </w:r>
      <w:r w:rsidR="00C4771F" w:rsidRPr="00991BFE">
        <w:rPr>
          <w:rFonts w:ascii="Times New Roman" w:hAnsi="Times New Roman" w:cs="Times New Roman"/>
          <w:sz w:val="24"/>
          <w:szCs w:val="24"/>
          <w:lang w:val="sq-AL"/>
        </w:rPr>
        <w:t xml:space="preserve"> </w:t>
      </w:r>
      <w:r w:rsidR="00F47886">
        <w:rPr>
          <w:rFonts w:ascii="Times New Roman" w:hAnsi="Times New Roman" w:cs="Times New Roman"/>
          <w:sz w:val="24"/>
          <w:szCs w:val="24"/>
          <w:lang w:val="sq-AL"/>
        </w:rPr>
        <w:t xml:space="preserve">nuk </w:t>
      </w:r>
      <w:r w:rsidR="00C4771F" w:rsidRPr="00991BFE">
        <w:rPr>
          <w:rFonts w:ascii="Times New Roman" w:hAnsi="Times New Roman" w:cs="Times New Roman"/>
          <w:sz w:val="24"/>
          <w:szCs w:val="24"/>
          <w:lang w:val="sq-AL"/>
        </w:rPr>
        <w:t xml:space="preserve">është parashikuar në </w:t>
      </w:r>
      <w:r w:rsidR="002F39DD" w:rsidRPr="002F39DD">
        <w:rPr>
          <w:rFonts w:ascii="Times New Roman" w:hAnsi="Times New Roman" w:cs="Times New Roman"/>
          <w:sz w:val="24"/>
          <w:szCs w:val="24"/>
          <w:lang w:val="sq-AL"/>
        </w:rPr>
        <w:t>programi</w:t>
      </w:r>
      <w:r w:rsidR="002F39DD">
        <w:rPr>
          <w:rFonts w:ascii="Times New Roman" w:hAnsi="Times New Roman" w:cs="Times New Roman"/>
          <w:sz w:val="24"/>
          <w:szCs w:val="24"/>
          <w:lang w:val="sq-AL"/>
        </w:rPr>
        <w:t>n</w:t>
      </w:r>
      <w:r w:rsidR="002F39DD" w:rsidRPr="002F39DD">
        <w:rPr>
          <w:rFonts w:ascii="Times New Roman" w:hAnsi="Times New Roman" w:cs="Times New Roman"/>
          <w:sz w:val="24"/>
          <w:szCs w:val="24"/>
          <w:lang w:val="sq-AL"/>
        </w:rPr>
        <w:t xml:space="preserve"> </w:t>
      </w:r>
      <w:r w:rsidR="002F39DD">
        <w:rPr>
          <w:rFonts w:ascii="Times New Roman" w:hAnsi="Times New Roman" w:cs="Times New Roman"/>
          <w:sz w:val="24"/>
          <w:szCs w:val="24"/>
          <w:lang w:val="sq-AL"/>
        </w:rPr>
        <w:t>e</w:t>
      </w:r>
      <w:r w:rsidR="002F39DD" w:rsidRPr="002F39DD">
        <w:rPr>
          <w:rFonts w:ascii="Times New Roman" w:hAnsi="Times New Roman" w:cs="Times New Roman"/>
          <w:sz w:val="24"/>
          <w:szCs w:val="24"/>
          <w:lang w:val="sq-AL"/>
        </w:rPr>
        <w:t xml:space="preserve"> përgjithshëm analitik të projektakteve, që do të paraqiten për shqyrtim në Këshillin e Ministrave gjatë vitit 2026</w:t>
      </w:r>
      <w:r w:rsidR="00C4771F" w:rsidRPr="00991BFE">
        <w:rPr>
          <w:rFonts w:ascii="Times New Roman" w:hAnsi="Times New Roman" w:cs="Times New Roman"/>
          <w:sz w:val="24"/>
          <w:szCs w:val="24"/>
          <w:lang w:val="sq-AL"/>
        </w:rPr>
        <w:t>, të planifikuara për Ministrinë e Financave</w:t>
      </w:r>
      <w:r w:rsidR="00A05836" w:rsidRPr="00991BFE">
        <w:rPr>
          <w:rFonts w:ascii="Times New Roman" w:hAnsi="Times New Roman"/>
          <w:sz w:val="24"/>
          <w:lang w:val="sq-AL"/>
        </w:rPr>
        <w:t xml:space="preserve">, </w:t>
      </w:r>
      <w:r w:rsidR="00F47886">
        <w:rPr>
          <w:rFonts w:ascii="Times New Roman" w:hAnsi="Times New Roman"/>
          <w:sz w:val="24"/>
          <w:lang w:val="sq-AL"/>
        </w:rPr>
        <w:t xml:space="preserve">por </w:t>
      </w:r>
      <w:r w:rsidR="00A05836" w:rsidRPr="00991BFE">
        <w:rPr>
          <w:rFonts w:ascii="Times New Roman" w:hAnsi="Times New Roman"/>
          <w:sz w:val="24"/>
          <w:lang w:val="sq-AL"/>
        </w:rPr>
        <w:t xml:space="preserve">kontribuon në përmbushjen e objektivave të përcaktuara në dokumentet kryesore strategjike të Qeverisë Shqiptare, veçanërisht në </w:t>
      </w:r>
      <w:r w:rsidR="00CB0B46" w:rsidRPr="00991BFE">
        <w:rPr>
          <w:rFonts w:ascii="Times New Roman" w:hAnsi="Times New Roman"/>
          <w:sz w:val="24"/>
          <w:lang w:val="sq-AL"/>
        </w:rPr>
        <w:t>Strategjinë Afatmesme të të Ardhurave, Strategjinë e Menaxhimit të Financave Publike 2023–2030 dhe Strategjinë Ndërsektoriale për Decentralizimin dhe Qeverisjen Vendore 2023–2030, të cilat synojnë forcimin e financave vendore, rritjen e autonomisë fiskale të bashkive, modernizimin e administrimit tatimor dhe përmirësimin e qeverisjes vendore.</w:t>
      </w:r>
    </w:p>
    <w:p w14:paraId="1417126B" w14:textId="1F6C2687"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cs="Times New Roman"/>
          <w:sz w:val="24"/>
          <w:szCs w:val="24"/>
          <w:lang w:val="sq-AL"/>
        </w:rPr>
        <w:t>Gjithashtu</w:t>
      </w:r>
      <w:r w:rsidRPr="00991BFE">
        <w:rPr>
          <w:rFonts w:ascii="Times New Roman" w:hAnsi="Times New Roman"/>
          <w:sz w:val="24"/>
          <w:lang w:val="sq-AL"/>
        </w:rPr>
        <w:t xml:space="preserve">, miratimi i këtij projektligji përmbush një sërë rekomandimesh të ardhura nga organizata/institucione ndërkombëtare të specializuara </w:t>
      </w:r>
      <w:r w:rsidR="00A05836" w:rsidRPr="00991BFE">
        <w:rPr>
          <w:rFonts w:ascii="Times New Roman" w:hAnsi="Times New Roman"/>
          <w:sz w:val="24"/>
          <w:lang w:val="sq-AL"/>
        </w:rPr>
        <w:t xml:space="preserve">në fushën e </w:t>
      </w:r>
      <w:r w:rsidRPr="00991BFE">
        <w:rPr>
          <w:rFonts w:ascii="Times New Roman" w:hAnsi="Times New Roman"/>
          <w:sz w:val="24"/>
          <w:lang w:val="sq-AL"/>
        </w:rPr>
        <w:t>politika</w:t>
      </w:r>
      <w:r w:rsidR="00A05836" w:rsidRPr="00991BFE">
        <w:rPr>
          <w:rFonts w:ascii="Times New Roman" w:hAnsi="Times New Roman"/>
          <w:sz w:val="24"/>
          <w:lang w:val="sq-AL"/>
        </w:rPr>
        <w:t>ve</w:t>
      </w:r>
      <w:r w:rsidRPr="00991BFE">
        <w:rPr>
          <w:rFonts w:ascii="Times New Roman" w:hAnsi="Times New Roman"/>
          <w:sz w:val="24"/>
          <w:lang w:val="sq-AL"/>
        </w:rPr>
        <w:t xml:space="preserve"> fiskale dhe administrimi</w:t>
      </w:r>
      <w:r w:rsidR="00A05836" w:rsidRPr="00991BFE">
        <w:rPr>
          <w:rFonts w:ascii="Times New Roman" w:hAnsi="Times New Roman"/>
          <w:sz w:val="24"/>
          <w:lang w:val="sq-AL"/>
        </w:rPr>
        <w:t>t tatimor</w:t>
      </w:r>
      <w:r w:rsidRPr="00991BFE">
        <w:rPr>
          <w:rFonts w:ascii="Times New Roman" w:hAnsi="Times New Roman"/>
          <w:sz w:val="24"/>
          <w:lang w:val="sq-AL"/>
        </w:rPr>
        <w:t xml:space="preserve"> si Fondi Monetar Ndërkombëtar</w:t>
      </w:r>
      <w:r w:rsidR="00AA67E0" w:rsidRPr="00991BFE">
        <w:rPr>
          <w:rFonts w:ascii="Times New Roman" w:hAnsi="Times New Roman" w:cs="Times New Roman"/>
          <w:sz w:val="24"/>
          <w:szCs w:val="24"/>
          <w:lang w:val="sq-AL"/>
        </w:rPr>
        <w:t>, Banka Bot</w:t>
      </w:r>
      <w:r w:rsidR="004D78D9" w:rsidRPr="00991BFE">
        <w:rPr>
          <w:rFonts w:ascii="Times New Roman" w:hAnsi="Times New Roman" w:cs="Times New Roman"/>
          <w:sz w:val="24"/>
          <w:szCs w:val="24"/>
          <w:lang w:val="sq-AL"/>
        </w:rPr>
        <w:t>ë</w:t>
      </w:r>
      <w:r w:rsidR="00AA67E0" w:rsidRPr="00991BFE">
        <w:rPr>
          <w:rFonts w:ascii="Times New Roman" w:hAnsi="Times New Roman" w:cs="Times New Roman"/>
          <w:sz w:val="24"/>
          <w:szCs w:val="24"/>
          <w:lang w:val="sq-AL"/>
        </w:rPr>
        <w:t>rore</w:t>
      </w:r>
      <w:r w:rsidRPr="00991BFE">
        <w:rPr>
          <w:rFonts w:ascii="Times New Roman" w:hAnsi="Times New Roman"/>
          <w:sz w:val="24"/>
          <w:lang w:val="sq-AL"/>
        </w:rPr>
        <w:t xml:space="preserve"> dhe Agjencia Suedeze e Taksave, e njëherazi, angazhimesh dhe zotimesh të marra nga Qeveria Shqiptare, të përcaktuara në dokumente të ndryshëm strategjikë dhe marrëveshjesh ndihme teknike midis kësaj të fundit dhe partnerëve </w:t>
      </w:r>
      <w:r w:rsidR="002D49C8" w:rsidRPr="00991BFE">
        <w:rPr>
          <w:rFonts w:ascii="Times New Roman" w:hAnsi="Times New Roman"/>
          <w:sz w:val="24"/>
          <w:lang w:val="sq-AL"/>
        </w:rPr>
        <w:t>të</w:t>
      </w:r>
      <w:r w:rsidR="00CB0B46" w:rsidRPr="00991BFE">
        <w:rPr>
          <w:rFonts w:ascii="Times New Roman" w:hAnsi="Times New Roman"/>
          <w:sz w:val="24"/>
          <w:lang w:val="sq-AL"/>
        </w:rPr>
        <w:t xml:space="preserve"> </w:t>
      </w:r>
      <w:r w:rsidR="002D49C8" w:rsidRPr="00991BFE">
        <w:rPr>
          <w:rFonts w:ascii="Times New Roman" w:hAnsi="Times New Roman"/>
          <w:sz w:val="24"/>
          <w:lang w:val="sq-AL"/>
        </w:rPr>
        <w:t>ndryshëm</w:t>
      </w:r>
      <w:r w:rsidR="00CB0B46" w:rsidRPr="00991BFE">
        <w:rPr>
          <w:rFonts w:ascii="Times New Roman" w:hAnsi="Times New Roman"/>
          <w:sz w:val="24"/>
          <w:lang w:val="sq-AL"/>
        </w:rPr>
        <w:t xml:space="preserve"> </w:t>
      </w:r>
      <w:r w:rsidR="002D49C8" w:rsidRPr="00991BFE">
        <w:rPr>
          <w:rFonts w:ascii="Times New Roman" w:hAnsi="Times New Roman"/>
          <w:sz w:val="24"/>
          <w:lang w:val="sq-AL"/>
        </w:rPr>
        <w:t>ndërkombëtarë</w:t>
      </w:r>
      <w:r w:rsidR="00CB0B46" w:rsidRPr="00991BFE">
        <w:rPr>
          <w:rFonts w:ascii="Times New Roman" w:hAnsi="Times New Roman"/>
          <w:sz w:val="24"/>
          <w:lang w:val="sq-AL"/>
        </w:rPr>
        <w:t xml:space="preserve">. </w:t>
      </w:r>
      <w:r w:rsidR="00CB0B46" w:rsidRPr="00991BFE">
        <w:rPr>
          <w:lang w:val="sq-AL"/>
        </w:rPr>
        <w:t xml:space="preserve"> </w:t>
      </w:r>
    </w:p>
    <w:p w14:paraId="542A4D3D" w14:textId="27A1D307" w:rsidR="00C4771F" w:rsidRPr="00991BFE" w:rsidRDefault="00C4771F" w:rsidP="00C4771F">
      <w:pPr>
        <w:pStyle w:val="Heading2"/>
        <w:numPr>
          <w:ilvl w:val="0"/>
          <w:numId w:val="12"/>
        </w:numPr>
        <w:spacing w:line="276" w:lineRule="auto"/>
        <w:jc w:val="both"/>
        <w:rPr>
          <w:rFonts w:ascii="Times New Roman" w:hAnsi="Times New Roman"/>
          <w:b/>
          <w:color w:val="auto"/>
          <w:sz w:val="24"/>
          <w:lang w:val="sq-AL"/>
        </w:rPr>
      </w:pPr>
      <w:r w:rsidRPr="00991BFE">
        <w:rPr>
          <w:rFonts w:ascii="Times New Roman" w:hAnsi="Times New Roman"/>
          <w:b/>
          <w:color w:val="auto"/>
          <w:sz w:val="24"/>
          <w:lang w:val="sq-AL"/>
        </w:rPr>
        <w:t>ARGUMENTIMI</w:t>
      </w:r>
      <w:r w:rsidR="00852263" w:rsidRPr="00991BFE">
        <w:rPr>
          <w:rFonts w:ascii="Times New Roman" w:hAnsi="Times New Roman"/>
          <w:b/>
          <w:color w:val="auto"/>
          <w:sz w:val="24"/>
          <w:lang w:val="sq-AL"/>
        </w:rPr>
        <w:t xml:space="preserve"> </w:t>
      </w:r>
      <w:r w:rsidRPr="00991BFE">
        <w:rPr>
          <w:rFonts w:ascii="Times New Roman" w:hAnsi="Times New Roman"/>
          <w:b/>
          <w:color w:val="auto"/>
          <w:sz w:val="24"/>
          <w:lang w:val="sq-AL"/>
        </w:rPr>
        <w:t>I PROJEKTLIGJIT LIDHUR ME PËRPARËSITË, PROBLEMATIKAT, EFEKTET E PRITSHME</w:t>
      </w:r>
    </w:p>
    <w:p w14:paraId="75E20A1A" w14:textId="77777777" w:rsidR="00C4771F" w:rsidRPr="00991BFE" w:rsidRDefault="00C4771F" w:rsidP="00C4771F">
      <w:pPr>
        <w:pStyle w:val="Heading2"/>
        <w:spacing w:line="276" w:lineRule="auto"/>
        <w:jc w:val="both"/>
        <w:rPr>
          <w:rFonts w:ascii="Times New Roman" w:hAnsi="Times New Roman"/>
          <w:color w:val="auto"/>
          <w:sz w:val="24"/>
          <w:lang w:val="sq-AL"/>
        </w:rPr>
      </w:pPr>
    </w:p>
    <w:p w14:paraId="7BAA8BB1" w14:textId="130EC956" w:rsidR="00C4771F" w:rsidRPr="00991BFE" w:rsidRDefault="00C4771F" w:rsidP="00C4771F">
      <w:pPr>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Gjetje nga vlerësime të ndryshme diagnostikuese</w:t>
      </w:r>
      <w:r w:rsidR="00E84692" w:rsidRPr="00991BFE">
        <w:rPr>
          <w:rFonts w:ascii="Times New Roman" w:hAnsi="Times New Roman" w:cs="Times New Roman"/>
          <w:sz w:val="24"/>
          <w:szCs w:val="24"/>
          <w:lang w:val="sq-AL"/>
        </w:rPr>
        <w:t xml:space="preserve"> të kryera gjatë viteve të fundit</w:t>
      </w:r>
      <w:r w:rsidRPr="00991BFE">
        <w:rPr>
          <w:rFonts w:ascii="Times New Roman" w:hAnsi="Times New Roman" w:cs="Times New Roman"/>
          <w:sz w:val="24"/>
          <w:szCs w:val="24"/>
          <w:lang w:val="sq-AL"/>
        </w:rPr>
        <w:t xml:space="preserve">, tregojnë se </w:t>
      </w:r>
      <w:r w:rsidR="00E84692" w:rsidRPr="00991BFE">
        <w:rPr>
          <w:rFonts w:ascii="Times New Roman" w:hAnsi="Times New Roman" w:cs="Times New Roman"/>
          <w:sz w:val="24"/>
          <w:szCs w:val="24"/>
          <w:lang w:val="sq-AL"/>
        </w:rPr>
        <w:t xml:space="preserve">sistemi i </w:t>
      </w:r>
      <w:r w:rsidRPr="00991BFE">
        <w:rPr>
          <w:rFonts w:ascii="Times New Roman" w:hAnsi="Times New Roman" w:cs="Times New Roman"/>
          <w:sz w:val="24"/>
          <w:szCs w:val="24"/>
          <w:lang w:val="sq-AL"/>
        </w:rPr>
        <w:t>taksimi</w:t>
      </w:r>
      <w:r w:rsidR="00E84692" w:rsidRPr="00991BFE">
        <w:rPr>
          <w:rFonts w:ascii="Times New Roman" w:hAnsi="Times New Roman" w:cs="Times New Roman"/>
          <w:sz w:val="24"/>
          <w:szCs w:val="24"/>
          <w:lang w:val="sq-AL"/>
        </w:rPr>
        <w:t xml:space="preserve">t </w:t>
      </w:r>
      <w:r w:rsidR="00BB6593" w:rsidRPr="00991BFE">
        <w:rPr>
          <w:rFonts w:ascii="Times New Roman" w:hAnsi="Times New Roman" w:cs="Times New Roman"/>
          <w:sz w:val="24"/>
          <w:szCs w:val="24"/>
          <w:lang w:val="sq-AL"/>
        </w:rPr>
        <w:t>të</w:t>
      </w:r>
      <w:r w:rsidRPr="00991BFE">
        <w:rPr>
          <w:rFonts w:ascii="Times New Roman" w:hAnsi="Times New Roman" w:cs="Times New Roman"/>
          <w:sz w:val="24"/>
          <w:szCs w:val="24"/>
          <w:lang w:val="sq-AL"/>
        </w:rPr>
        <w:t xml:space="preserve"> pasurive të paluajtshme në Shqipëri </w:t>
      </w:r>
      <w:r w:rsidR="00E84692" w:rsidRPr="00991BFE">
        <w:rPr>
          <w:rFonts w:ascii="Times New Roman" w:hAnsi="Times New Roman" w:cs="Times New Roman"/>
          <w:sz w:val="24"/>
          <w:szCs w:val="24"/>
          <w:lang w:val="sq-AL"/>
        </w:rPr>
        <w:t xml:space="preserve">vijon të karakterizohet nga dobësi të rëndësishme strukturore, të lidhura si </w:t>
      </w:r>
      <w:r w:rsidRPr="00991BFE">
        <w:rPr>
          <w:rFonts w:ascii="Times New Roman" w:hAnsi="Times New Roman" w:cs="Times New Roman"/>
          <w:sz w:val="24"/>
          <w:szCs w:val="24"/>
          <w:lang w:val="sq-AL"/>
        </w:rPr>
        <w:t xml:space="preserve">me politikat </w:t>
      </w:r>
      <w:r w:rsidR="00E84692" w:rsidRPr="00991BFE">
        <w:rPr>
          <w:rFonts w:ascii="Times New Roman" w:hAnsi="Times New Roman" w:cs="Times New Roman"/>
          <w:sz w:val="24"/>
          <w:szCs w:val="24"/>
          <w:lang w:val="sq-AL"/>
        </w:rPr>
        <w:t>ashtu e</w:t>
      </w:r>
      <w:r w:rsidRPr="00991BFE">
        <w:rPr>
          <w:rFonts w:ascii="Times New Roman" w:hAnsi="Times New Roman" w:cs="Times New Roman"/>
          <w:sz w:val="24"/>
          <w:szCs w:val="24"/>
          <w:lang w:val="sq-AL"/>
        </w:rPr>
        <w:t xml:space="preserve">dhe </w:t>
      </w:r>
      <w:r w:rsidR="00E84692" w:rsidRPr="00991BFE">
        <w:rPr>
          <w:rFonts w:ascii="Times New Roman" w:hAnsi="Times New Roman" w:cs="Times New Roman"/>
          <w:sz w:val="24"/>
          <w:szCs w:val="24"/>
          <w:lang w:val="sq-AL"/>
        </w:rPr>
        <w:t xml:space="preserve">me </w:t>
      </w:r>
      <w:r w:rsidRPr="00991BFE">
        <w:rPr>
          <w:rFonts w:ascii="Times New Roman" w:hAnsi="Times New Roman" w:cs="Times New Roman"/>
          <w:sz w:val="24"/>
          <w:szCs w:val="24"/>
          <w:lang w:val="sq-AL"/>
        </w:rPr>
        <w:t>administrimin e kësaj takse apo thënë ndryshe kuadrin rregullator dhe zbatimin e tij në praktikë.</w:t>
      </w:r>
    </w:p>
    <w:p w14:paraId="58BDF611" w14:textId="76ECC117" w:rsidR="00C4771F" w:rsidRPr="00991BFE" w:rsidRDefault="00C4771F" w:rsidP="00C4771F">
      <w:pPr>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Për shkak të ndërveprimit të këtyre faktorëve një numër i konsiderueshëm pasurish të paluajtshme në Shqipëri nuk taksohen. Disa taksapagues nuk paguajnë detyrimet e tyre tatimore dhe ata që paguajnë me të drejtë mendojnë se sistemi është i padrejtë sepse jo të gjithë paguajnë. Nga ana tjetër, nën regjimin aktual tatimor, ndodh shpesh që për prona me sipërfaqe të njëjtë por me vendndodhje të ndryshme dhe për rrjedhojë vlera të ndryshme tregu, të paguhet i njëjti detyrim tatimor. Po ashtu, ekziston një hendek i konsiderueshëm midis nivelit të taksimit të pronave që përdoren për qëllime banimi dhe atyre që nuk përdoren për qëllime banimi</w:t>
      </w:r>
      <w:r w:rsidR="00EA317D" w:rsidRPr="00991BFE">
        <w:rPr>
          <w:rFonts w:ascii="Times New Roman" w:hAnsi="Times New Roman" w:cs="Times New Roman"/>
          <w:sz w:val="24"/>
          <w:szCs w:val="24"/>
          <w:lang w:val="sq-AL"/>
        </w:rPr>
        <w:t xml:space="preserve">,  çka nuk përputhet me parimet ku bazohet </w:t>
      </w:r>
      <w:r w:rsidR="00F16A85" w:rsidRPr="00991BFE">
        <w:rPr>
          <w:lang w:val="sq-AL"/>
        </w:rPr>
        <w:t xml:space="preserve"> </w:t>
      </w:r>
      <w:r w:rsidR="00EA317D" w:rsidRPr="00991BFE">
        <w:rPr>
          <w:rFonts w:ascii="Times New Roman" w:hAnsi="Times New Roman" w:cs="Times New Roman"/>
          <w:sz w:val="24"/>
          <w:szCs w:val="24"/>
          <w:lang w:val="sq-AL"/>
        </w:rPr>
        <w:t>taksa mbi pasurin</w:t>
      </w:r>
      <w:r w:rsidR="00F16A85" w:rsidRPr="00991BFE">
        <w:rPr>
          <w:rFonts w:ascii="Times New Roman" w:hAnsi="Times New Roman" w:cs="Times New Roman"/>
          <w:sz w:val="24"/>
          <w:szCs w:val="24"/>
          <w:lang w:val="sq-AL"/>
        </w:rPr>
        <w:t>ë</w:t>
      </w:r>
      <w:r w:rsidR="00EA317D" w:rsidRPr="00991BFE">
        <w:rPr>
          <w:rFonts w:ascii="Times New Roman" w:hAnsi="Times New Roman" w:cs="Times New Roman"/>
          <w:sz w:val="24"/>
          <w:szCs w:val="24"/>
          <w:lang w:val="sq-AL"/>
        </w:rPr>
        <w:t xml:space="preserve"> e paluajtshme, e cila</w:t>
      </w:r>
      <w:r w:rsidR="00F16A85" w:rsidRPr="00991BFE">
        <w:rPr>
          <w:rFonts w:ascii="Times New Roman" w:hAnsi="Times New Roman" w:cs="Times New Roman"/>
          <w:sz w:val="24"/>
          <w:szCs w:val="24"/>
          <w:lang w:val="sq-AL"/>
        </w:rPr>
        <w:t xml:space="preserve"> është e njohur</w:t>
      </w:r>
      <w:r w:rsidR="00055690" w:rsidRPr="00991BFE">
        <w:rPr>
          <w:rFonts w:ascii="Times New Roman" w:hAnsi="Times New Roman" w:cs="Times New Roman"/>
          <w:sz w:val="24"/>
          <w:szCs w:val="24"/>
          <w:lang w:val="sq-AL"/>
        </w:rPr>
        <w:t xml:space="preserve"> botërisht</w:t>
      </w:r>
      <w:r w:rsidR="00A870F5" w:rsidRPr="00991BFE">
        <w:rPr>
          <w:rFonts w:ascii="Times New Roman" w:hAnsi="Times New Roman" w:cs="Times New Roman"/>
          <w:sz w:val="24"/>
          <w:szCs w:val="24"/>
          <w:lang w:val="sq-AL"/>
        </w:rPr>
        <w:t>,</w:t>
      </w:r>
      <w:r w:rsidR="00F16A85" w:rsidRPr="00991BFE">
        <w:rPr>
          <w:rFonts w:ascii="Times New Roman" w:hAnsi="Times New Roman" w:cs="Times New Roman"/>
          <w:sz w:val="24"/>
          <w:szCs w:val="24"/>
          <w:lang w:val="sq-AL"/>
        </w:rPr>
        <w:t xml:space="preserve"> si një taksë e lidhur me shërbimet e përfituara. Një diferencim i madh i nivelit të taksimit për këto kategori</w:t>
      </w:r>
      <w:r w:rsidR="00822CE4" w:rsidRPr="00991BFE">
        <w:rPr>
          <w:rFonts w:ascii="Times New Roman" w:hAnsi="Times New Roman" w:cs="Times New Roman"/>
          <w:sz w:val="24"/>
          <w:szCs w:val="24"/>
          <w:lang w:val="sq-AL"/>
        </w:rPr>
        <w:t>,</w:t>
      </w:r>
      <w:r w:rsidR="00F16A85" w:rsidRPr="00991BFE">
        <w:rPr>
          <w:rFonts w:ascii="Times New Roman" w:hAnsi="Times New Roman" w:cs="Times New Roman"/>
          <w:sz w:val="24"/>
          <w:szCs w:val="24"/>
          <w:lang w:val="sq-AL"/>
        </w:rPr>
        <w:t xml:space="preserve"> nuk është i justifikuar.</w:t>
      </w:r>
      <w:r w:rsidR="00D17E7A"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Elementët e mësipërm cenojnë aspekte që lidhen me drejtësinë e sistemit duke krijuar pabarazi.</w:t>
      </w:r>
    </w:p>
    <w:p w14:paraId="7623B890" w14:textId="70F04502" w:rsidR="00D17E7A" w:rsidRPr="00991BFE" w:rsidRDefault="00C4771F" w:rsidP="00C4771F">
      <w:pPr>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Për sa i përket kostove të administrimit të taksës, sot taksa </w:t>
      </w:r>
      <w:r w:rsidR="00F16A85" w:rsidRPr="00991BFE">
        <w:rPr>
          <w:rFonts w:ascii="Times New Roman" w:hAnsi="Times New Roman" w:cs="Times New Roman"/>
          <w:sz w:val="24"/>
          <w:szCs w:val="24"/>
          <w:lang w:val="sq-AL"/>
        </w:rPr>
        <w:t>mbi</w:t>
      </w:r>
      <w:r w:rsidRPr="00991BFE">
        <w:rPr>
          <w:rFonts w:ascii="Times New Roman" w:hAnsi="Times New Roman" w:cs="Times New Roman"/>
          <w:sz w:val="24"/>
          <w:szCs w:val="24"/>
          <w:lang w:val="sq-AL"/>
        </w:rPr>
        <w:t xml:space="preserve"> pasuri</w:t>
      </w:r>
      <w:r w:rsidR="00F16A85" w:rsidRPr="00991BFE">
        <w:rPr>
          <w:rFonts w:ascii="Times New Roman" w:hAnsi="Times New Roman" w:cs="Times New Roman"/>
          <w:sz w:val="24"/>
          <w:szCs w:val="24"/>
          <w:lang w:val="sq-AL"/>
        </w:rPr>
        <w:t>n</w:t>
      </w:r>
      <w:r w:rsidRPr="00991BFE">
        <w:rPr>
          <w:rFonts w:ascii="Times New Roman" w:hAnsi="Times New Roman" w:cs="Times New Roman"/>
          <w:sz w:val="24"/>
          <w:szCs w:val="24"/>
          <w:lang w:val="sq-AL"/>
        </w:rPr>
        <w:t>ë</w:t>
      </w:r>
      <w:r w:rsidR="00F16A85" w:rsidRPr="00991BFE">
        <w:rPr>
          <w:rFonts w:ascii="Times New Roman" w:hAnsi="Times New Roman" w:cs="Times New Roman"/>
          <w:sz w:val="24"/>
          <w:szCs w:val="24"/>
          <w:lang w:val="sq-AL"/>
        </w:rPr>
        <w:t xml:space="preserve"> e paluajtshme</w:t>
      </w:r>
      <w:r w:rsidRPr="00991BFE">
        <w:rPr>
          <w:rFonts w:ascii="Times New Roman" w:hAnsi="Times New Roman" w:cs="Times New Roman"/>
          <w:sz w:val="24"/>
          <w:szCs w:val="24"/>
          <w:lang w:val="sq-AL"/>
        </w:rPr>
        <w:t xml:space="preserve"> administrohet në nivel vendor përmes praktikave të ndryshme</w:t>
      </w:r>
      <w:r w:rsidR="00822CE4" w:rsidRPr="00991BFE">
        <w:rPr>
          <w:rFonts w:ascii="Times New Roman" w:hAnsi="Times New Roman" w:cs="Times New Roman"/>
          <w:sz w:val="24"/>
          <w:szCs w:val="24"/>
          <w:lang w:val="sq-AL"/>
        </w:rPr>
        <w:t>,</w:t>
      </w:r>
      <w:r w:rsidRPr="00991BFE">
        <w:rPr>
          <w:rFonts w:ascii="Times New Roman" w:hAnsi="Times New Roman" w:cs="Times New Roman"/>
          <w:sz w:val="24"/>
          <w:szCs w:val="24"/>
          <w:lang w:val="sq-AL"/>
        </w:rPr>
        <w:t xml:space="preserve"> në bashki të ndryshme.</w:t>
      </w:r>
      <w:r w:rsidR="00E84692" w:rsidRPr="00991BFE">
        <w:rPr>
          <w:b/>
          <w:bCs/>
          <w:lang w:val="sq-AL"/>
        </w:rPr>
        <w:t xml:space="preserve"> </w:t>
      </w:r>
      <w:r w:rsidR="00E84692" w:rsidRPr="00991BFE">
        <w:rPr>
          <w:rFonts w:ascii="Times New Roman" w:hAnsi="Times New Roman" w:cs="Times New Roman"/>
          <w:sz w:val="24"/>
          <w:szCs w:val="24"/>
          <w:lang w:val="sq-AL"/>
        </w:rPr>
        <w:t>Administrimi rezulton shpesh i fragmentuar, joefikas dhe i paunifikuar</w:t>
      </w:r>
      <w:r w:rsidR="00A870F5" w:rsidRPr="00991BFE">
        <w:rPr>
          <w:rFonts w:ascii="Times New Roman" w:hAnsi="Times New Roman" w:cs="Times New Roman"/>
          <w:sz w:val="24"/>
          <w:szCs w:val="24"/>
          <w:lang w:val="sq-AL"/>
        </w:rPr>
        <w:t>,</w:t>
      </w:r>
      <w:r w:rsidR="004C3578" w:rsidRPr="00991BFE">
        <w:rPr>
          <w:rFonts w:ascii="Times New Roman" w:hAnsi="Times New Roman" w:cs="Times New Roman"/>
          <w:sz w:val="24"/>
          <w:szCs w:val="24"/>
          <w:lang w:val="sq-AL"/>
        </w:rPr>
        <w:t xml:space="preserve"> </w:t>
      </w:r>
      <w:r w:rsidR="00F16A85" w:rsidRPr="00991BFE">
        <w:rPr>
          <w:rFonts w:ascii="Times New Roman" w:hAnsi="Times New Roman" w:cs="Times New Roman"/>
          <w:sz w:val="24"/>
          <w:szCs w:val="24"/>
          <w:lang w:val="sq-AL"/>
        </w:rPr>
        <w:t xml:space="preserve">si pasojë e mungesës së </w:t>
      </w:r>
      <w:r w:rsidR="00D17E7A" w:rsidRPr="00991BFE">
        <w:rPr>
          <w:rFonts w:ascii="Times New Roman" w:hAnsi="Times New Roman" w:cs="Times New Roman"/>
          <w:sz w:val="24"/>
          <w:szCs w:val="24"/>
          <w:lang w:val="sq-AL"/>
        </w:rPr>
        <w:lastRenderedPageBreak/>
        <w:t>përdorimit</w:t>
      </w:r>
      <w:r w:rsidR="00F16A85" w:rsidRPr="00991BFE">
        <w:rPr>
          <w:rFonts w:ascii="Times New Roman" w:hAnsi="Times New Roman" w:cs="Times New Roman"/>
          <w:sz w:val="24"/>
          <w:szCs w:val="24"/>
          <w:lang w:val="sq-AL"/>
        </w:rPr>
        <w:t xml:space="preserve"> </w:t>
      </w:r>
      <w:r w:rsidR="00D17E7A" w:rsidRPr="00991BFE">
        <w:rPr>
          <w:rFonts w:ascii="Times New Roman" w:hAnsi="Times New Roman" w:cs="Times New Roman"/>
          <w:sz w:val="24"/>
          <w:szCs w:val="24"/>
          <w:lang w:val="sq-AL"/>
        </w:rPr>
        <w:t>të</w:t>
      </w:r>
      <w:r w:rsidR="00F16A85" w:rsidRPr="00991BFE">
        <w:rPr>
          <w:rFonts w:ascii="Times New Roman" w:hAnsi="Times New Roman" w:cs="Times New Roman"/>
          <w:sz w:val="24"/>
          <w:szCs w:val="24"/>
          <w:lang w:val="sq-AL"/>
        </w:rPr>
        <w:t xml:space="preserve"> </w:t>
      </w:r>
      <w:r w:rsidR="00D17E7A" w:rsidRPr="00991BFE">
        <w:rPr>
          <w:rFonts w:ascii="Times New Roman" w:hAnsi="Times New Roman" w:cs="Times New Roman"/>
          <w:sz w:val="24"/>
          <w:szCs w:val="24"/>
          <w:lang w:val="sq-AL"/>
        </w:rPr>
        <w:t>një</w:t>
      </w:r>
      <w:r w:rsidR="00F16A85" w:rsidRPr="00991BFE">
        <w:rPr>
          <w:rFonts w:ascii="Times New Roman" w:hAnsi="Times New Roman" w:cs="Times New Roman"/>
          <w:sz w:val="24"/>
          <w:szCs w:val="24"/>
          <w:lang w:val="sq-AL"/>
        </w:rPr>
        <w:t xml:space="preserve"> </w:t>
      </w:r>
      <w:r w:rsidR="00D17E7A" w:rsidRPr="00991BFE">
        <w:rPr>
          <w:rFonts w:ascii="Times New Roman" w:hAnsi="Times New Roman" w:cs="Times New Roman"/>
          <w:sz w:val="24"/>
          <w:szCs w:val="24"/>
          <w:lang w:val="sq-AL"/>
        </w:rPr>
        <w:t xml:space="preserve">regjistri dhe </w:t>
      </w:r>
      <w:r w:rsidR="00F16A85" w:rsidRPr="00991BFE">
        <w:rPr>
          <w:rFonts w:ascii="Times New Roman" w:hAnsi="Times New Roman" w:cs="Times New Roman"/>
          <w:sz w:val="24"/>
          <w:szCs w:val="24"/>
          <w:lang w:val="sq-AL"/>
        </w:rPr>
        <w:t xml:space="preserve">sistemi </w:t>
      </w:r>
      <w:r w:rsidR="00D17E7A" w:rsidRPr="00991BFE">
        <w:rPr>
          <w:rFonts w:ascii="Times New Roman" w:hAnsi="Times New Roman" w:cs="Times New Roman"/>
          <w:sz w:val="24"/>
          <w:szCs w:val="24"/>
          <w:lang w:val="sq-AL"/>
        </w:rPr>
        <w:t>të qendërzuar</w:t>
      </w:r>
      <w:r w:rsidR="00F16A85" w:rsidRPr="00991BFE">
        <w:rPr>
          <w:rFonts w:ascii="Times New Roman" w:hAnsi="Times New Roman" w:cs="Times New Roman"/>
          <w:sz w:val="24"/>
          <w:szCs w:val="24"/>
          <w:lang w:val="sq-AL"/>
        </w:rPr>
        <w:t xml:space="preserve"> informatik </w:t>
      </w:r>
      <w:r w:rsidR="00D17E7A" w:rsidRPr="00991BFE">
        <w:rPr>
          <w:rFonts w:ascii="Times New Roman" w:hAnsi="Times New Roman" w:cs="Times New Roman"/>
          <w:sz w:val="24"/>
          <w:szCs w:val="24"/>
          <w:lang w:val="sq-AL"/>
        </w:rPr>
        <w:t>për administrimin e taksës</w:t>
      </w:r>
      <w:r w:rsidR="00D515A3" w:rsidRPr="00991BFE">
        <w:rPr>
          <w:rFonts w:ascii="Times New Roman" w:hAnsi="Times New Roman" w:cs="Times New Roman"/>
          <w:sz w:val="24"/>
          <w:szCs w:val="24"/>
          <w:lang w:val="sq-AL"/>
        </w:rPr>
        <w:t xml:space="preserve"> dhe </w:t>
      </w:r>
      <w:r w:rsidR="007B3B1D" w:rsidRPr="00991BFE">
        <w:rPr>
          <w:rFonts w:ascii="Times New Roman" w:hAnsi="Times New Roman" w:cs="Times New Roman"/>
          <w:sz w:val="24"/>
          <w:szCs w:val="24"/>
          <w:lang w:val="sq-AL"/>
        </w:rPr>
        <w:t xml:space="preserve">aplikimit të </w:t>
      </w:r>
      <w:r w:rsidR="00D515A3" w:rsidRPr="00991BFE">
        <w:rPr>
          <w:rFonts w:ascii="Times New Roman" w:hAnsi="Times New Roman" w:cs="Times New Roman"/>
          <w:sz w:val="24"/>
          <w:szCs w:val="24"/>
          <w:lang w:val="sq-AL"/>
        </w:rPr>
        <w:t>praktikave</w:t>
      </w:r>
      <w:r w:rsidR="004F3763" w:rsidRPr="00991BFE">
        <w:rPr>
          <w:rFonts w:ascii="Times New Roman" w:hAnsi="Times New Roman" w:cs="Times New Roman"/>
          <w:sz w:val="24"/>
          <w:szCs w:val="24"/>
          <w:lang w:val="sq-AL"/>
        </w:rPr>
        <w:t>/qasjeve</w:t>
      </w:r>
      <w:r w:rsidR="00D515A3" w:rsidRPr="00991BFE">
        <w:rPr>
          <w:rFonts w:ascii="Times New Roman" w:hAnsi="Times New Roman" w:cs="Times New Roman"/>
          <w:sz w:val="24"/>
          <w:szCs w:val="24"/>
          <w:lang w:val="sq-AL"/>
        </w:rPr>
        <w:t xml:space="preserve"> të </w:t>
      </w:r>
      <w:r w:rsidR="007B3B1D" w:rsidRPr="00991BFE">
        <w:rPr>
          <w:rFonts w:ascii="Times New Roman" w:hAnsi="Times New Roman" w:cs="Times New Roman"/>
          <w:sz w:val="24"/>
          <w:szCs w:val="24"/>
          <w:lang w:val="sq-AL"/>
        </w:rPr>
        <w:t>pa unifikuara</w:t>
      </w:r>
      <w:r w:rsidR="00E84692" w:rsidRPr="00991BFE">
        <w:rPr>
          <w:rFonts w:ascii="Times New Roman" w:hAnsi="Times New Roman" w:cs="Times New Roman"/>
          <w:sz w:val="24"/>
          <w:szCs w:val="24"/>
          <w:lang w:val="sq-AL"/>
        </w:rPr>
        <w:t xml:space="preserve"> nga bashki </w:t>
      </w:r>
      <w:r w:rsidR="00BB6593" w:rsidRPr="00991BFE">
        <w:rPr>
          <w:rFonts w:ascii="Times New Roman" w:hAnsi="Times New Roman" w:cs="Times New Roman"/>
          <w:sz w:val="24"/>
          <w:szCs w:val="24"/>
          <w:lang w:val="sq-AL"/>
        </w:rPr>
        <w:t>të</w:t>
      </w:r>
      <w:r w:rsidR="00E84692" w:rsidRPr="00991BFE">
        <w:rPr>
          <w:rFonts w:ascii="Times New Roman" w:hAnsi="Times New Roman" w:cs="Times New Roman"/>
          <w:sz w:val="24"/>
          <w:szCs w:val="24"/>
          <w:lang w:val="sq-AL"/>
        </w:rPr>
        <w:t xml:space="preserve"> ndryshme</w:t>
      </w:r>
      <w:r w:rsidR="00F16A85"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 xml:space="preserve"> </w:t>
      </w:r>
      <w:r w:rsidR="00BB6593" w:rsidRPr="00991BFE">
        <w:rPr>
          <w:lang w:val="sq-AL"/>
        </w:rPr>
        <w:t xml:space="preserve"> </w:t>
      </w:r>
      <w:r w:rsidR="00BB6593" w:rsidRPr="00991BFE">
        <w:rPr>
          <w:rFonts w:ascii="Times New Roman" w:hAnsi="Times New Roman" w:cs="Times New Roman"/>
          <w:sz w:val="24"/>
          <w:szCs w:val="24"/>
          <w:lang w:val="sq-AL"/>
        </w:rPr>
        <w:t>Për këtë arsye, si dhe për shkak të disa mang</w:t>
      </w:r>
      <w:r w:rsidR="00BD351D" w:rsidRPr="00991BFE">
        <w:rPr>
          <w:rFonts w:ascii="Times New Roman" w:hAnsi="Times New Roman" w:cs="Times New Roman"/>
          <w:sz w:val="24"/>
          <w:szCs w:val="24"/>
          <w:lang w:val="sq-AL"/>
        </w:rPr>
        <w:t>ë</w:t>
      </w:r>
      <w:r w:rsidR="00BB6593" w:rsidRPr="00991BFE">
        <w:rPr>
          <w:rFonts w:ascii="Times New Roman" w:hAnsi="Times New Roman" w:cs="Times New Roman"/>
          <w:sz w:val="24"/>
          <w:szCs w:val="24"/>
          <w:lang w:val="sq-AL"/>
        </w:rPr>
        <w:t xml:space="preserve">sive të kuadrit rregullator ekzistues, përfshirja e nivelit qendror në administrimin e taksës së pasurisë ka qene </w:t>
      </w:r>
      <w:r w:rsidR="00991BFE" w:rsidRPr="00991BFE">
        <w:rPr>
          <w:rFonts w:ascii="Times New Roman" w:hAnsi="Times New Roman" w:cs="Times New Roman"/>
          <w:sz w:val="24"/>
          <w:szCs w:val="24"/>
          <w:lang w:val="sq-AL"/>
        </w:rPr>
        <w:t>relativisht</w:t>
      </w:r>
      <w:r w:rsidR="00BB6593" w:rsidRPr="00991BFE">
        <w:rPr>
          <w:rFonts w:ascii="Times New Roman" w:hAnsi="Times New Roman" w:cs="Times New Roman"/>
          <w:sz w:val="24"/>
          <w:szCs w:val="24"/>
          <w:lang w:val="sq-AL"/>
        </w:rPr>
        <w:t xml:space="preserve"> e kufizuar</w:t>
      </w:r>
      <w:r w:rsidRPr="00991BFE">
        <w:rPr>
          <w:rFonts w:ascii="Times New Roman" w:hAnsi="Times New Roman" w:cs="Times New Roman"/>
          <w:sz w:val="24"/>
          <w:szCs w:val="24"/>
          <w:lang w:val="sq-AL"/>
        </w:rPr>
        <w:t xml:space="preserve">. Sistemi aktual nuk i ngjason një sistemi ku taksa e pasurisë bashkë - administrohet nga niveli vendor dhe ai qendror për të: (i) ndihmuar në kapërcimin e vështirësive lidhur me resurset e limituara në dispozicion të bashkive; (ii) përfituar nga ekonomitë e shkallës; apo (iii) siguruar barazi në administrim. Për pasojë, kostot e administrimit të kësaj takse, siç evidentohet në shumë raporte, janë të larta. </w:t>
      </w:r>
    </w:p>
    <w:p w14:paraId="30AFC68E" w14:textId="3C311E26" w:rsidR="00C4771F" w:rsidRPr="00991BFE" w:rsidRDefault="00C4771F" w:rsidP="00C4771F">
      <w:pPr>
        <w:jc w:val="both"/>
        <w:rPr>
          <w:rFonts w:ascii="Times New Roman" w:hAnsi="Times New Roman"/>
          <w:sz w:val="24"/>
          <w:lang w:val="sq-AL"/>
        </w:rPr>
      </w:pPr>
      <w:r w:rsidRPr="00991BFE">
        <w:rPr>
          <w:rFonts w:ascii="Times New Roman" w:hAnsi="Times New Roman"/>
          <w:sz w:val="24"/>
          <w:lang w:val="sq-AL"/>
        </w:rPr>
        <w:t xml:space="preserve">Për më shumë, vlerat që përdoren për taksimin e </w:t>
      </w:r>
      <w:r w:rsidR="00C81736" w:rsidRPr="00991BFE">
        <w:rPr>
          <w:rFonts w:ascii="Times New Roman" w:hAnsi="Times New Roman"/>
          <w:sz w:val="24"/>
          <w:lang w:val="sq-AL"/>
        </w:rPr>
        <w:t>pasurive të paluajtshme</w:t>
      </w:r>
      <w:r w:rsidRPr="00991BFE">
        <w:rPr>
          <w:rFonts w:ascii="Times New Roman" w:hAnsi="Times New Roman"/>
          <w:sz w:val="24"/>
          <w:lang w:val="sq-AL"/>
        </w:rPr>
        <w:t xml:space="preserve"> nuk përditësohen sipas një cikli të rregullt dhe nuk pasqyrojnë vlerat e tregut, </w:t>
      </w:r>
      <w:r w:rsidR="00EA317D" w:rsidRPr="00991BFE">
        <w:rPr>
          <w:rFonts w:ascii="Times New Roman" w:hAnsi="Times New Roman"/>
          <w:sz w:val="24"/>
          <w:lang w:val="sq-AL"/>
        </w:rPr>
        <w:t>duke sjellë humbje të ardhurash</w:t>
      </w:r>
      <w:r w:rsidR="00D515A3" w:rsidRPr="00991BFE">
        <w:rPr>
          <w:rFonts w:ascii="Times New Roman" w:hAnsi="Times New Roman"/>
          <w:sz w:val="24"/>
          <w:lang w:val="sq-AL"/>
        </w:rPr>
        <w:t>,</w:t>
      </w:r>
      <w:r w:rsidR="00EA317D" w:rsidRPr="00991BFE">
        <w:rPr>
          <w:rFonts w:ascii="Times New Roman" w:hAnsi="Times New Roman"/>
          <w:sz w:val="24"/>
          <w:lang w:val="sq-AL"/>
        </w:rPr>
        <w:t xml:space="preserve"> por edhe reagime të forta nga taksapaguesit</w:t>
      </w:r>
      <w:r w:rsidR="00D515A3" w:rsidRPr="00991BFE">
        <w:rPr>
          <w:rFonts w:ascii="Times New Roman" w:hAnsi="Times New Roman"/>
          <w:sz w:val="24"/>
          <w:lang w:val="sq-AL"/>
        </w:rPr>
        <w:t>,</w:t>
      </w:r>
      <w:r w:rsidR="00EA317D" w:rsidRPr="00991BFE">
        <w:rPr>
          <w:rFonts w:ascii="Times New Roman" w:hAnsi="Times New Roman"/>
          <w:sz w:val="24"/>
          <w:lang w:val="sq-AL"/>
        </w:rPr>
        <w:t xml:space="preserve"> kur përditësimi i tyre vjen pas një periudhe të gjatë kohe</w:t>
      </w:r>
      <w:r w:rsidR="00EF27DB" w:rsidRPr="00991BFE">
        <w:rPr>
          <w:rFonts w:ascii="Times New Roman" w:hAnsi="Times New Roman"/>
          <w:sz w:val="24"/>
          <w:lang w:val="sq-AL"/>
        </w:rPr>
        <w:t xml:space="preserve"> </w:t>
      </w:r>
      <w:r w:rsidR="00D515A3" w:rsidRPr="00991BFE">
        <w:rPr>
          <w:rFonts w:ascii="Times New Roman" w:hAnsi="Times New Roman"/>
          <w:sz w:val="24"/>
          <w:lang w:val="sq-AL"/>
        </w:rPr>
        <w:t>dhe shoqërohet</w:t>
      </w:r>
      <w:r w:rsidR="00EF27DB" w:rsidRPr="00991BFE">
        <w:rPr>
          <w:rFonts w:ascii="Times New Roman" w:hAnsi="Times New Roman"/>
          <w:sz w:val="24"/>
          <w:lang w:val="sq-AL"/>
        </w:rPr>
        <w:t xml:space="preserve"> </w:t>
      </w:r>
      <w:r w:rsidR="00C81736" w:rsidRPr="00991BFE">
        <w:rPr>
          <w:rFonts w:ascii="Times New Roman" w:hAnsi="Times New Roman"/>
          <w:sz w:val="24"/>
          <w:lang w:val="sq-AL"/>
        </w:rPr>
        <w:t>rrjedhimisht</w:t>
      </w:r>
      <w:r w:rsidR="001F0FB1" w:rsidRPr="00991BFE">
        <w:rPr>
          <w:rFonts w:ascii="Times New Roman" w:hAnsi="Times New Roman"/>
          <w:sz w:val="24"/>
          <w:lang w:val="sq-AL"/>
        </w:rPr>
        <w:t>,</w:t>
      </w:r>
      <w:r w:rsidR="00C81736" w:rsidRPr="00991BFE">
        <w:rPr>
          <w:rFonts w:ascii="Times New Roman" w:hAnsi="Times New Roman"/>
          <w:sz w:val="24"/>
          <w:lang w:val="sq-AL"/>
        </w:rPr>
        <w:t xml:space="preserve"> </w:t>
      </w:r>
      <w:r w:rsidR="00D515A3" w:rsidRPr="00991BFE">
        <w:rPr>
          <w:rFonts w:ascii="Times New Roman" w:hAnsi="Times New Roman"/>
          <w:sz w:val="24"/>
          <w:lang w:val="sq-AL"/>
        </w:rPr>
        <w:t>me rritje të konsideruesh</w:t>
      </w:r>
      <w:r w:rsidR="00EF27DB" w:rsidRPr="00991BFE">
        <w:rPr>
          <w:rFonts w:ascii="Times New Roman" w:hAnsi="Times New Roman"/>
          <w:sz w:val="24"/>
          <w:lang w:val="sq-AL"/>
        </w:rPr>
        <w:t>m</w:t>
      </w:r>
      <w:r w:rsidR="00D515A3" w:rsidRPr="00991BFE">
        <w:rPr>
          <w:rFonts w:ascii="Times New Roman" w:hAnsi="Times New Roman"/>
          <w:sz w:val="24"/>
          <w:lang w:val="sq-AL"/>
        </w:rPr>
        <w:t>e</w:t>
      </w:r>
      <w:r w:rsidR="00EF27DB" w:rsidRPr="00991BFE">
        <w:rPr>
          <w:rFonts w:ascii="Times New Roman" w:hAnsi="Times New Roman"/>
          <w:sz w:val="24"/>
          <w:lang w:val="sq-AL"/>
        </w:rPr>
        <w:t xml:space="preserve"> </w:t>
      </w:r>
      <w:r w:rsidR="00D515A3" w:rsidRPr="00991BFE">
        <w:rPr>
          <w:rFonts w:ascii="Times New Roman" w:hAnsi="Times New Roman"/>
          <w:sz w:val="24"/>
          <w:lang w:val="sq-AL"/>
        </w:rPr>
        <w:t>të detyrimeve</w:t>
      </w:r>
      <w:r w:rsidR="00EF27DB" w:rsidRPr="00991BFE">
        <w:rPr>
          <w:rFonts w:ascii="Times New Roman" w:hAnsi="Times New Roman"/>
          <w:sz w:val="24"/>
          <w:lang w:val="sq-AL"/>
        </w:rPr>
        <w:t xml:space="preserve"> tatimore</w:t>
      </w:r>
      <w:r w:rsidR="00EA317D" w:rsidRPr="00991BFE">
        <w:rPr>
          <w:rFonts w:ascii="Times New Roman" w:hAnsi="Times New Roman"/>
          <w:sz w:val="24"/>
          <w:lang w:val="sq-AL"/>
        </w:rPr>
        <w:t xml:space="preserve">. </w:t>
      </w:r>
      <w:r w:rsidR="00D17E7A" w:rsidRPr="00991BFE">
        <w:rPr>
          <w:rFonts w:ascii="Times New Roman" w:hAnsi="Times New Roman"/>
          <w:sz w:val="24"/>
          <w:lang w:val="sq-AL"/>
        </w:rPr>
        <w:t xml:space="preserve"> S</w:t>
      </w:r>
      <w:r w:rsidRPr="00991BFE">
        <w:rPr>
          <w:rFonts w:ascii="Times New Roman" w:hAnsi="Times New Roman"/>
          <w:sz w:val="24"/>
          <w:lang w:val="sq-AL"/>
        </w:rPr>
        <w:t>hkallët/nivelet e taksës janë të ulëta në krahasim me vendet e rajonit dhe</w:t>
      </w:r>
      <w:r w:rsidR="00D17E7A" w:rsidRPr="00991BFE">
        <w:rPr>
          <w:rFonts w:ascii="Times New Roman" w:hAnsi="Times New Roman"/>
          <w:sz w:val="24"/>
          <w:lang w:val="sq-AL"/>
        </w:rPr>
        <w:t xml:space="preserve"> në disa raste </w:t>
      </w:r>
      <w:r w:rsidR="004C3578" w:rsidRPr="00991BFE">
        <w:rPr>
          <w:rFonts w:ascii="Times New Roman" w:hAnsi="Times New Roman"/>
          <w:sz w:val="24"/>
          <w:lang w:val="sq-AL"/>
        </w:rPr>
        <w:t xml:space="preserve">janë </w:t>
      </w:r>
      <w:r w:rsidR="00D17E7A" w:rsidRPr="00991BFE">
        <w:rPr>
          <w:rFonts w:ascii="Times New Roman" w:hAnsi="Times New Roman"/>
          <w:sz w:val="24"/>
          <w:lang w:val="sq-AL"/>
        </w:rPr>
        <w:t>aq të papërfillshme</w:t>
      </w:r>
      <w:r w:rsidR="00EA317D" w:rsidRPr="00991BFE">
        <w:rPr>
          <w:rFonts w:ascii="Times New Roman" w:hAnsi="Times New Roman"/>
          <w:sz w:val="24"/>
          <w:lang w:val="sq-AL"/>
        </w:rPr>
        <w:t xml:space="preserve">, </w:t>
      </w:r>
      <w:r w:rsidR="00D17E7A" w:rsidRPr="00991BFE">
        <w:rPr>
          <w:rFonts w:ascii="Times New Roman" w:hAnsi="Times New Roman"/>
          <w:sz w:val="24"/>
          <w:lang w:val="sq-AL"/>
        </w:rPr>
        <w:t xml:space="preserve">sa nuk justifikojnë as koston e dërgimit të njoftimeve tatimore </w:t>
      </w:r>
      <w:r w:rsidR="00055690" w:rsidRPr="00991BFE">
        <w:rPr>
          <w:rFonts w:ascii="Times New Roman" w:hAnsi="Times New Roman"/>
          <w:sz w:val="24"/>
          <w:lang w:val="sq-AL"/>
        </w:rPr>
        <w:t xml:space="preserve">te taksapaguesit. </w:t>
      </w:r>
      <w:r w:rsidR="004C3578" w:rsidRPr="00991BFE">
        <w:rPr>
          <w:rFonts w:ascii="Times New Roman" w:hAnsi="Times New Roman"/>
          <w:sz w:val="24"/>
          <w:lang w:val="sq-AL"/>
        </w:rPr>
        <w:t>M</w:t>
      </w:r>
      <w:r w:rsidRPr="00991BFE">
        <w:rPr>
          <w:rFonts w:ascii="Times New Roman" w:hAnsi="Times New Roman"/>
          <w:sz w:val="24"/>
          <w:lang w:val="sq-AL"/>
        </w:rPr>
        <w:t>bledhja e detyrimeve tatimore nuk është në nivelet e dëshiruara</w:t>
      </w:r>
      <w:r w:rsidR="00055690" w:rsidRPr="00991BFE">
        <w:rPr>
          <w:rFonts w:ascii="Times New Roman" w:hAnsi="Times New Roman"/>
          <w:sz w:val="24"/>
          <w:lang w:val="sq-AL"/>
        </w:rPr>
        <w:t xml:space="preserve">, për shkak të </w:t>
      </w:r>
      <w:r w:rsidR="00EA317D" w:rsidRPr="00991BFE">
        <w:rPr>
          <w:rFonts w:ascii="Times New Roman" w:hAnsi="Times New Roman"/>
          <w:sz w:val="24"/>
          <w:lang w:val="sq-AL"/>
        </w:rPr>
        <w:t>mungesës së mekanizmave efektivë</w:t>
      </w:r>
      <w:r w:rsidR="00F53117" w:rsidRPr="00991BFE">
        <w:rPr>
          <w:rFonts w:ascii="Times New Roman" w:hAnsi="Times New Roman"/>
          <w:sz w:val="24"/>
          <w:lang w:val="sq-AL"/>
        </w:rPr>
        <w:t xml:space="preserve"> dhe </w:t>
      </w:r>
      <w:r w:rsidR="00CA7A4F" w:rsidRPr="00991BFE">
        <w:rPr>
          <w:rFonts w:ascii="Times New Roman" w:hAnsi="Times New Roman"/>
          <w:sz w:val="24"/>
          <w:lang w:val="sq-AL"/>
        </w:rPr>
        <w:t>burimeve t</w:t>
      </w:r>
      <w:r w:rsidR="00BD351D" w:rsidRPr="00991BFE">
        <w:rPr>
          <w:rFonts w:ascii="Times New Roman" w:hAnsi="Times New Roman"/>
          <w:sz w:val="24"/>
          <w:lang w:val="sq-AL"/>
        </w:rPr>
        <w:t>ë</w:t>
      </w:r>
      <w:r w:rsidR="00CA7A4F" w:rsidRPr="00991BFE">
        <w:rPr>
          <w:rFonts w:ascii="Times New Roman" w:hAnsi="Times New Roman"/>
          <w:sz w:val="24"/>
          <w:lang w:val="sq-AL"/>
        </w:rPr>
        <w:t xml:space="preserve"> nevojshme</w:t>
      </w:r>
      <w:r w:rsidRPr="00991BFE">
        <w:rPr>
          <w:rFonts w:ascii="Times New Roman" w:hAnsi="Times New Roman"/>
          <w:sz w:val="24"/>
          <w:lang w:val="sq-AL"/>
        </w:rPr>
        <w:t>. Përveç kësaj taksapaguesit nuk informohen në mënyre të rregullt dhe efi</w:t>
      </w:r>
      <w:r w:rsidR="00CA7A4F" w:rsidRPr="00991BFE">
        <w:rPr>
          <w:rFonts w:ascii="Times New Roman" w:hAnsi="Times New Roman"/>
          <w:sz w:val="24"/>
          <w:lang w:val="sq-AL"/>
        </w:rPr>
        <w:t>kase</w:t>
      </w:r>
      <w:r w:rsidRPr="00991BFE">
        <w:rPr>
          <w:rFonts w:ascii="Times New Roman" w:hAnsi="Times New Roman"/>
          <w:sz w:val="24"/>
          <w:lang w:val="sq-AL"/>
        </w:rPr>
        <w:t xml:space="preserve"> për detyrimet tatimore, llogaritjen e tyre apo aspekte të tjera që kanë të bëjnë me te drejtat dhe detyrimet e tyre. </w:t>
      </w:r>
    </w:p>
    <w:p w14:paraId="6B66A4EF" w14:textId="6E01333C" w:rsidR="00CA7A4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 xml:space="preserve">Për rrjedhojë, edhe të ardhurat e gjeneruara nga kjo taksë, janë larg potencialit të tyre të vërtetë. Mungesa e këtyre të ardhurave ka ndikim të drejtpërdrejtë në shëndetin financiar të njësive të vetëqeverisjes vendore dhe </w:t>
      </w:r>
      <w:r w:rsidR="00CA7A4F" w:rsidRPr="00991BFE">
        <w:rPr>
          <w:rFonts w:ascii="Times New Roman" w:hAnsi="Times New Roman"/>
          <w:sz w:val="24"/>
          <w:lang w:val="sq-AL"/>
        </w:rPr>
        <w:t>në aftësinë e tyre për të financuar investime publike dhe për të përmirësuar cilësinë e shërbimeve të ofruara për qytetarët dhe bizneset.</w:t>
      </w:r>
    </w:p>
    <w:p w14:paraId="24E81895" w14:textId="01E09F00" w:rsidR="00CA7A4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 xml:space="preserve">Në ketë kuadër, kalimi në një sistem taksimi të bazuar në vlerën e tregut dhe përmirësimi i mëtejshëm i politikave të administrimit të taksës së pasurisë, </w:t>
      </w:r>
      <w:r w:rsidR="00CA7A4F" w:rsidRPr="00991BFE">
        <w:rPr>
          <w:rFonts w:ascii="Times New Roman" w:hAnsi="Times New Roman"/>
          <w:sz w:val="24"/>
          <w:lang w:val="sq-AL"/>
        </w:rPr>
        <w:t>synojnë jo vetëm rritjen e të ardhurave, por edhe krijimin e një sistemi më të drejtë, më transparent, më efikas dhe më të besueshëm të taksimit të pasurisë</w:t>
      </w:r>
      <w:r w:rsidRPr="00991BFE">
        <w:rPr>
          <w:rFonts w:ascii="Times New Roman" w:hAnsi="Times New Roman"/>
          <w:sz w:val="24"/>
          <w:lang w:val="sq-AL"/>
        </w:rPr>
        <w:t xml:space="preserve">. Sipas parashikimeve të FMN-së, pas implementimit të reformës, të ardhurat e gjeneruara nga kjo taksë mund të arrijnë nivelet e </w:t>
      </w:r>
      <w:r w:rsidRPr="00991BFE">
        <w:rPr>
          <w:rFonts w:ascii="Times New Roman" w:hAnsi="Times New Roman"/>
          <w:b/>
          <w:sz w:val="24"/>
          <w:lang w:val="sq-AL"/>
        </w:rPr>
        <w:t>0,7 - 1 % të PBB-së</w:t>
      </w:r>
      <w:r w:rsidRPr="00991BFE">
        <w:rPr>
          <w:rFonts w:ascii="Times New Roman" w:hAnsi="Times New Roman"/>
          <w:sz w:val="24"/>
          <w:lang w:val="sq-AL"/>
        </w:rPr>
        <w:t>.</w:t>
      </w:r>
      <w:r w:rsidRPr="00991BFE">
        <w:rPr>
          <w:rStyle w:val="FootnoteReference"/>
          <w:rFonts w:ascii="Times New Roman" w:hAnsi="Times New Roman"/>
          <w:sz w:val="24"/>
          <w:lang w:val="sq-AL"/>
        </w:rPr>
        <w:footnoteReference w:id="4"/>
      </w:r>
      <w:r w:rsidRPr="00991BFE">
        <w:rPr>
          <w:rFonts w:ascii="Times New Roman" w:hAnsi="Times New Roman"/>
          <w:sz w:val="24"/>
          <w:lang w:val="sq-AL"/>
        </w:rPr>
        <w:t xml:space="preserve"> </w:t>
      </w:r>
    </w:p>
    <w:p w14:paraId="309C5173" w14:textId="10ABB248" w:rsidR="00CA7A4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Megjithatë, duhet theksuar se rezultatet e pritshme të reformës e tejkalojnë objektivin kryesor për rritjen e të ardhurave nga taksa e pasurisë, duke ndikuar pozitivisht e sjellë përfitime të tjera për qytetaret shqiptarë dhe ekonominë në tërësi. Mjafton të përmendim këtu nxitjen e fortë që ofron taksa e pasurisë e bazuar në vlerën e tregut për shfrytëzimin në mënyrë produktive të pronave të paluajtshme (</w:t>
      </w:r>
      <w:r w:rsidRPr="00991BFE">
        <w:rPr>
          <w:rFonts w:ascii="Times New Roman" w:hAnsi="Times New Roman"/>
          <w:i/>
          <w:sz w:val="24"/>
          <w:lang w:val="sq-AL"/>
        </w:rPr>
        <w:t>p.sh. tokat e pashfrytëzuara dhe ndërtesat e papërdorura</w:t>
      </w:r>
      <w:r w:rsidRPr="00991BFE">
        <w:rPr>
          <w:rFonts w:ascii="Times New Roman" w:hAnsi="Times New Roman"/>
          <w:sz w:val="24"/>
          <w:lang w:val="sq-AL"/>
        </w:rPr>
        <w:t>). Për me tepër, një taksë e fortë dhe e qartë pasurie mund të krijojë premisat për</w:t>
      </w:r>
      <w:r w:rsidR="00CA7A4F" w:rsidRPr="00991BFE">
        <w:rPr>
          <w:rFonts w:ascii="Times New Roman" w:hAnsi="Times New Roman"/>
          <w:sz w:val="24"/>
          <w:lang w:val="sq-AL"/>
        </w:rPr>
        <w:t xml:space="preserve"> reduktimin gradual të varësisë së bashkive nga tarifa </w:t>
      </w:r>
      <w:r w:rsidR="00B469D9" w:rsidRPr="00991BFE">
        <w:rPr>
          <w:rFonts w:ascii="Times New Roman" w:hAnsi="Times New Roman"/>
          <w:sz w:val="24"/>
          <w:lang w:val="sq-AL"/>
        </w:rPr>
        <w:t>të caktuara vendore</w:t>
      </w:r>
      <w:r w:rsidR="00CA7A4F" w:rsidRPr="00991BFE">
        <w:rPr>
          <w:rFonts w:ascii="Times New Roman" w:hAnsi="Times New Roman"/>
          <w:sz w:val="24"/>
          <w:lang w:val="sq-AL"/>
        </w:rPr>
        <w:t xml:space="preserve">, të cilat shpesh nuk mbështeten në baza të forta fiskale. Një sistem i konsoliduar i taksimit të pasurisë do t’u mundësonte bashkive të mbështeteshin në një burim më </w:t>
      </w:r>
      <w:r w:rsidR="00CA7A4F" w:rsidRPr="00991BFE">
        <w:rPr>
          <w:rFonts w:ascii="Times New Roman" w:hAnsi="Times New Roman"/>
          <w:sz w:val="24"/>
          <w:lang w:val="sq-AL"/>
        </w:rPr>
        <w:lastRenderedPageBreak/>
        <w:t>të qëndrueshëm, më transparent dhe më të drejtë të ardhurash, duke kontribuar njëkohësisht në përmirësimin e klimës së biznesit.</w:t>
      </w:r>
    </w:p>
    <w:p w14:paraId="209304EF" w14:textId="7B76C372"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 xml:space="preserve">Legjislacioni në fuqi që rregullon taksën </w:t>
      </w:r>
      <w:r w:rsidR="00D01450" w:rsidRPr="00991BFE">
        <w:rPr>
          <w:rFonts w:ascii="Times New Roman" w:hAnsi="Times New Roman"/>
          <w:sz w:val="24"/>
          <w:lang w:val="sq-AL"/>
        </w:rPr>
        <w:t>mbi</w:t>
      </w:r>
      <w:r w:rsidRPr="00991BFE">
        <w:rPr>
          <w:rFonts w:ascii="Times New Roman" w:hAnsi="Times New Roman"/>
          <w:sz w:val="24"/>
          <w:lang w:val="sq-AL"/>
        </w:rPr>
        <w:t xml:space="preserve"> pasuri</w:t>
      </w:r>
      <w:r w:rsidR="00D01450" w:rsidRPr="00991BFE">
        <w:rPr>
          <w:rFonts w:ascii="Times New Roman" w:hAnsi="Times New Roman"/>
          <w:sz w:val="24"/>
          <w:lang w:val="sq-AL"/>
        </w:rPr>
        <w:t>n</w:t>
      </w:r>
      <w:r w:rsidRPr="00991BFE">
        <w:rPr>
          <w:rFonts w:ascii="Times New Roman" w:hAnsi="Times New Roman"/>
          <w:sz w:val="24"/>
          <w:lang w:val="sq-AL"/>
        </w:rPr>
        <w:t>ë</w:t>
      </w:r>
      <w:r w:rsidR="00D01450" w:rsidRPr="00991BFE">
        <w:rPr>
          <w:rFonts w:ascii="Times New Roman" w:hAnsi="Times New Roman"/>
          <w:sz w:val="24"/>
          <w:lang w:val="sq-AL"/>
        </w:rPr>
        <w:t xml:space="preserve"> e paluajtshme</w:t>
      </w:r>
      <w:r w:rsidRPr="00991BFE">
        <w:rPr>
          <w:rFonts w:ascii="Times New Roman" w:hAnsi="Times New Roman"/>
          <w:sz w:val="24"/>
          <w:lang w:val="sq-AL"/>
        </w:rPr>
        <w:t xml:space="preserve"> është i papërshtatshëm për të kaluar në një sistem të ri, modern taksimi, të bazuar në vlerën e tregut. Ai nuk adreson kërkesat e reja specifike për realizimin e reformës, që ka si kryefjalë të saj, implementimin e taksës </w:t>
      </w:r>
      <w:r w:rsidR="00D01450" w:rsidRPr="00991BFE">
        <w:rPr>
          <w:rFonts w:ascii="Times New Roman" w:hAnsi="Times New Roman"/>
          <w:sz w:val="24"/>
          <w:lang w:val="sq-AL"/>
        </w:rPr>
        <w:t>mbi</w:t>
      </w:r>
      <w:r w:rsidRPr="00991BFE">
        <w:rPr>
          <w:rFonts w:ascii="Times New Roman" w:hAnsi="Times New Roman"/>
          <w:sz w:val="24"/>
          <w:lang w:val="sq-AL"/>
        </w:rPr>
        <w:t xml:space="preserve"> pasuri</w:t>
      </w:r>
      <w:r w:rsidR="00D01450" w:rsidRPr="00991BFE">
        <w:rPr>
          <w:rFonts w:ascii="Times New Roman" w:hAnsi="Times New Roman"/>
          <w:sz w:val="24"/>
          <w:lang w:val="sq-AL"/>
        </w:rPr>
        <w:t>n</w:t>
      </w:r>
      <w:r w:rsidRPr="00991BFE">
        <w:rPr>
          <w:rFonts w:ascii="Times New Roman" w:hAnsi="Times New Roman"/>
          <w:sz w:val="24"/>
          <w:lang w:val="sq-AL"/>
        </w:rPr>
        <w:t>ë</w:t>
      </w:r>
      <w:r w:rsidR="00D01450" w:rsidRPr="00991BFE">
        <w:rPr>
          <w:rFonts w:ascii="Times New Roman" w:hAnsi="Times New Roman"/>
          <w:sz w:val="24"/>
          <w:lang w:val="sq-AL"/>
        </w:rPr>
        <w:t xml:space="preserve"> e paluajtshme, të</w:t>
      </w:r>
      <w:r w:rsidRPr="00991BFE">
        <w:rPr>
          <w:rFonts w:ascii="Times New Roman" w:hAnsi="Times New Roman"/>
          <w:sz w:val="24"/>
          <w:lang w:val="sq-AL"/>
        </w:rPr>
        <w:t xml:space="preserve"> bazuar në vlerën e tregut, si dhe krijimin e një sistemi efektiv për vendosjen dhe mbledhjen e saj. Për këto arsye, një kuadër i ri ligjor, ka një rëndësi vendimtare për realizimin e suksesshëm të nismës së ndërmarrë. </w:t>
      </w:r>
    </w:p>
    <w:p w14:paraId="433109FC" w14:textId="72A45481"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 xml:space="preserve">Nisur nga struktura aktuale e legjislacionit, kompleksiteti i rregullimit të taksës </w:t>
      </w:r>
      <w:r w:rsidR="00D01450" w:rsidRPr="00991BFE">
        <w:rPr>
          <w:rFonts w:ascii="Times New Roman" w:hAnsi="Times New Roman"/>
          <w:sz w:val="24"/>
          <w:lang w:val="sq-AL"/>
        </w:rPr>
        <w:t xml:space="preserve">mbi </w:t>
      </w:r>
      <w:r w:rsidRPr="00991BFE">
        <w:rPr>
          <w:rFonts w:ascii="Times New Roman" w:hAnsi="Times New Roman"/>
          <w:sz w:val="24"/>
          <w:lang w:val="sq-AL"/>
        </w:rPr>
        <w:t>pasuri</w:t>
      </w:r>
      <w:r w:rsidR="00D01450" w:rsidRPr="00991BFE">
        <w:rPr>
          <w:rFonts w:ascii="Times New Roman" w:hAnsi="Times New Roman"/>
          <w:sz w:val="24"/>
          <w:lang w:val="sq-AL"/>
        </w:rPr>
        <w:t>n</w:t>
      </w:r>
      <w:r w:rsidRPr="00991BFE">
        <w:rPr>
          <w:rFonts w:ascii="Times New Roman" w:hAnsi="Times New Roman"/>
          <w:sz w:val="24"/>
          <w:lang w:val="sq-AL"/>
        </w:rPr>
        <w:t xml:space="preserve">ë </w:t>
      </w:r>
      <w:r w:rsidR="00D01450" w:rsidRPr="00991BFE">
        <w:rPr>
          <w:rFonts w:ascii="Times New Roman" w:hAnsi="Times New Roman"/>
          <w:sz w:val="24"/>
          <w:lang w:val="sq-AL"/>
        </w:rPr>
        <w:t>e paluajtshme, të</w:t>
      </w:r>
      <w:r w:rsidRPr="00991BFE">
        <w:rPr>
          <w:rFonts w:ascii="Times New Roman" w:hAnsi="Times New Roman"/>
          <w:sz w:val="24"/>
          <w:lang w:val="sq-AL"/>
        </w:rPr>
        <w:t xml:space="preserve"> bazuar në vlerën e tregut, si dhe përvojave nga vendet e tjera, hartimi i një projektligji vetëm për taksën </w:t>
      </w:r>
      <w:r w:rsidR="00D01450" w:rsidRPr="00991BFE">
        <w:rPr>
          <w:rFonts w:ascii="Times New Roman" w:hAnsi="Times New Roman"/>
          <w:sz w:val="24"/>
          <w:lang w:val="sq-AL"/>
        </w:rPr>
        <w:t>mbi</w:t>
      </w:r>
      <w:r w:rsidRPr="00991BFE">
        <w:rPr>
          <w:rFonts w:ascii="Times New Roman" w:hAnsi="Times New Roman"/>
          <w:sz w:val="24"/>
          <w:lang w:val="sq-AL"/>
        </w:rPr>
        <w:t xml:space="preserve"> pasuri</w:t>
      </w:r>
      <w:r w:rsidR="00D01450" w:rsidRPr="00991BFE">
        <w:rPr>
          <w:rFonts w:ascii="Times New Roman" w:hAnsi="Times New Roman"/>
          <w:sz w:val="24"/>
          <w:lang w:val="sq-AL"/>
        </w:rPr>
        <w:t>n</w:t>
      </w:r>
      <w:r w:rsidRPr="00991BFE">
        <w:rPr>
          <w:rFonts w:ascii="Times New Roman" w:hAnsi="Times New Roman"/>
          <w:sz w:val="24"/>
          <w:lang w:val="sq-AL"/>
        </w:rPr>
        <w:t>ë</w:t>
      </w:r>
      <w:r w:rsidR="00D01450" w:rsidRPr="00991BFE">
        <w:rPr>
          <w:rFonts w:ascii="Times New Roman" w:hAnsi="Times New Roman"/>
          <w:sz w:val="24"/>
          <w:lang w:val="sq-AL"/>
        </w:rPr>
        <w:t xml:space="preserve"> e paluajtshme</w:t>
      </w:r>
      <w:r w:rsidRPr="00991BFE">
        <w:rPr>
          <w:rFonts w:ascii="Times New Roman" w:hAnsi="Times New Roman"/>
          <w:sz w:val="24"/>
          <w:lang w:val="sq-AL"/>
        </w:rPr>
        <w:t xml:space="preserve"> është vlerësuar si opsioni më i përshtatshëm.</w:t>
      </w:r>
    </w:p>
    <w:p w14:paraId="4B58D520" w14:textId="4C7719FB"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Projektligji bazohet në praktika të mira ndërkombëtare dhe krijon parakushtet për ndërtimin e një sistemi më të drejtë, më efektiv, më efi</w:t>
      </w:r>
      <w:r w:rsidR="00B469D9" w:rsidRPr="00991BFE">
        <w:rPr>
          <w:rFonts w:ascii="Times New Roman" w:hAnsi="Times New Roman"/>
          <w:sz w:val="24"/>
          <w:lang w:val="sq-AL"/>
        </w:rPr>
        <w:t>kas</w:t>
      </w:r>
      <w:r w:rsidRPr="00991BFE">
        <w:rPr>
          <w:rFonts w:ascii="Times New Roman" w:hAnsi="Times New Roman"/>
          <w:sz w:val="24"/>
          <w:lang w:val="sq-AL"/>
        </w:rPr>
        <w:t>, dhe më transparent, për taksimin e pasurive të paluajtshme në Shqipëri. Dispozitat e tij janë mjaftueshëm të detajuara për ti dhënë qartësinë e nevojshme elementeve kyç dhe risive të reformës, e në të njëjtën kohë, precize dhe të parashikueshme në zbatimin e tyre, për të përmbushur standardet e sigurisë juridike dhe për të parandaluar arbitraritetin.</w:t>
      </w:r>
    </w:p>
    <w:p w14:paraId="29F4F887" w14:textId="77777777"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 xml:space="preserve">Në mënyre të përmbledhur, ndryshimet dhe risitë kryesore të pasqyruara në projektligjin “Për taksën mbi pasurinë e paluajtshme” synojnë : </w:t>
      </w:r>
    </w:p>
    <w:p w14:paraId="35EF2CF5" w14:textId="70E33BD3" w:rsidR="00C4771F" w:rsidRPr="00991BFE" w:rsidRDefault="00C4771F" w:rsidP="00C4771F">
      <w:pPr>
        <w:pStyle w:val="ListParagraph"/>
        <w:numPr>
          <w:ilvl w:val="0"/>
          <w:numId w:val="16"/>
        </w:numPr>
        <w:spacing w:line="276" w:lineRule="auto"/>
        <w:jc w:val="both"/>
        <w:rPr>
          <w:rFonts w:ascii="Times New Roman" w:hAnsi="Times New Roman"/>
          <w:sz w:val="24"/>
          <w:lang w:val="sq-AL"/>
        </w:rPr>
      </w:pPr>
      <w:r w:rsidRPr="00991BFE">
        <w:rPr>
          <w:rFonts w:ascii="Times New Roman" w:hAnsi="Times New Roman"/>
          <w:sz w:val="24"/>
          <w:lang w:val="sq-AL"/>
        </w:rPr>
        <w:t xml:space="preserve">Kalimin nga një sistemi taksimi i bazuar </w:t>
      </w:r>
      <w:r w:rsidRPr="00991BFE">
        <w:rPr>
          <w:rFonts w:ascii="Times New Roman" w:hAnsi="Times New Roman" w:cs="Times New Roman"/>
          <w:sz w:val="24"/>
          <w:szCs w:val="24"/>
          <w:lang w:val="sq-AL"/>
        </w:rPr>
        <w:t>në vlerë</w:t>
      </w:r>
      <w:r w:rsidRPr="00991BFE">
        <w:rPr>
          <w:rFonts w:ascii="Times New Roman" w:hAnsi="Times New Roman"/>
          <w:sz w:val="24"/>
          <w:lang w:val="sq-AL"/>
        </w:rPr>
        <w:t xml:space="preserve"> për ndërtesat dhe një sistem i thjeshtë taksimi i bazuar mbi sipërfaqen (</w:t>
      </w:r>
      <w:r w:rsidRPr="00991BFE">
        <w:rPr>
          <w:rFonts w:ascii="Times New Roman" w:hAnsi="Times New Roman"/>
          <w:i/>
          <w:sz w:val="24"/>
          <w:lang w:val="sq-AL"/>
        </w:rPr>
        <w:t>area based</w:t>
      </w:r>
      <w:r w:rsidRPr="00991BFE">
        <w:rPr>
          <w:rFonts w:ascii="Times New Roman" w:hAnsi="Times New Roman"/>
          <w:sz w:val="24"/>
          <w:lang w:val="sq-AL"/>
        </w:rPr>
        <w:t>) për tokën, në një sistem modern taksimi që takson si ndërtesat ashtu dhe tokën, duke e bazuar në vlerën e tregut të këtyre pasurive</w:t>
      </w:r>
      <w:r w:rsidR="00D01450" w:rsidRPr="00991BFE">
        <w:rPr>
          <w:rFonts w:ascii="Times New Roman" w:hAnsi="Times New Roman"/>
          <w:sz w:val="24"/>
          <w:lang w:val="sq-AL"/>
        </w:rPr>
        <w:t xml:space="preserve"> të paluajtshme</w:t>
      </w:r>
      <w:r w:rsidRPr="00991BFE">
        <w:rPr>
          <w:rFonts w:ascii="Times New Roman" w:hAnsi="Times New Roman"/>
          <w:sz w:val="24"/>
          <w:lang w:val="sq-AL"/>
        </w:rPr>
        <w:t xml:space="preserve">; </w:t>
      </w:r>
    </w:p>
    <w:p w14:paraId="339C8BA5" w14:textId="77777777" w:rsidR="00C4771F" w:rsidRPr="00991BFE" w:rsidRDefault="00C4771F" w:rsidP="00C4771F">
      <w:pPr>
        <w:pStyle w:val="ListParagraph"/>
        <w:spacing w:line="276" w:lineRule="auto"/>
        <w:rPr>
          <w:rFonts w:ascii="Times New Roman" w:hAnsi="Times New Roman"/>
          <w:sz w:val="24"/>
          <w:lang w:val="sq-AL"/>
        </w:rPr>
      </w:pPr>
    </w:p>
    <w:p w14:paraId="17A60E36" w14:textId="102C95D7"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 xml:space="preserve">Të </w:t>
      </w:r>
      <w:r w:rsidR="00B469D9" w:rsidRPr="00991BFE">
        <w:rPr>
          <w:rFonts w:ascii="Times New Roman" w:hAnsi="Times New Roman"/>
          <w:sz w:val="24"/>
          <w:lang w:val="sq-AL"/>
        </w:rPr>
        <w:t>zgjerojnë</w:t>
      </w:r>
      <w:r w:rsidRPr="00991BFE">
        <w:rPr>
          <w:rFonts w:ascii="Times New Roman" w:hAnsi="Times New Roman"/>
          <w:sz w:val="24"/>
          <w:lang w:val="sq-AL"/>
        </w:rPr>
        <w:t xml:space="preserve"> bazën tatimore</w:t>
      </w:r>
      <w:r w:rsidRPr="00991BFE">
        <w:rPr>
          <w:rFonts w:ascii="Times New Roman" w:hAnsi="Times New Roman" w:cs="Times New Roman"/>
          <w:sz w:val="24"/>
          <w:szCs w:val="24"/>
          <w:lang w:val="sq-AL"/>
        </w:rPr>
        <w:t xml:space="preserve"> </w:t>
      </w:r>
      <w:r w:rsidRPr="00991BFE">
        <w:rPr>
          <w:rFonts w:ascii="Times New Roman" w:hAnsi="Times New Roman"/>
          <w:sz w:val="24"/>
          <w:lang w:val="sq-AL"/>
        </w:rPr>
        <w:t xml:space="preserve">duke shtuar kategoritë e pasurive të paluajtshme që taksohen dhe rritur numrin e pasurive të paluajtshme të regjistruara në kadastrën fiskale; </w:t>
      </w:r>
    </w:p>
    <w:p w14:paraId="22278D90" w14:textId="77777777" w:rsidR="00E33E27" w:rsidRDefault="00E33E27" w:rsidP="00C4771F">
      <w:pPr>
        <w:pStyle w:val="ListParagraph"/>
        <w:numPr>
          <w:ilvl w:val="0"/>
          <w:numId w:val="15"/>
        </w:numPr>
        <w:spacing w:line="276" w:lineRule="auto"/>
        <w:jc w:val="both"/>
        <w:rPr>
          <w:rFonts w:ascii="Times New Roman" w:hAnsi="Times New Roman"/>
          <w:sz w:val="24"/>
          <w:lang w:val="sq-AL"/>
        </w:rPr>
      </w:pPr>
    </w:p>
    <w:p w14:paraId="2787B894" w14:textId="44CA5B90"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 xml:space="preserve">Të </w:t>
      </w:r>
      <w:r w:rsidR="00B469D9" w:rsidRPr="00991BFE">
        <w:rPr>
          <w:rFonts w:ascii="Times New Roman" w:hAnsi="Times New Roman"/>
          <w:sz w:val="24"/>
          <w:lang w:val="sq-AL"/>
        </w:rPr>
        <w:t>p</w:t>
      </w:r>
      <w:r w:rsidR="00BD351D" w:rsidRPr="00991BFE">
        <w:rPr>
          <w:rFonts w:ascii="Times New Roman" w:hAnsi="Times New Roman"/>
          <w:sz w:val="24"/>
          <w:lang w:val="sq-AL"/>
        </w:rPr>
        <w:t>ë</w:t>
      </w:r>
      <w:r w:rsidR="00B469D9" w:rsidRPr="00991BFE">
        <w:rPr>
          <w:rFonts w:ascii="Times New Roman" w:hAnsi="Times New Roman"/>
          <w:sz w:val="24"/>
          <w:lang w:val="sq-AL"/>
        </w:rPr>
        <w:t>rmir</w:t>
      </w:r>
      <w:r w:rsidR="00BD351D" w:rsidRPr="00991BFE">
        <w:rPr>
          <w:rFonts w:ascii="Times New Roman" w:hAnsi="Times New Roman"/>
          <w:sz w:val="24"/>
          <w:lang w:val="sq-AL"/>
        </w:rPr>
        <w:t>ë</w:t>
      </w:r>
      <w:r w:rsidR="00B469D9" w:rsidRPr="00991BFE">
        <w:rPr>
          <w:rFonts w:ascii="Times New Roman" w:hAnsi="Times New Roman"/>
          <w:sz w:val="24"/>
          <w:lang w:val="sq-AL"/>
        </w:rPr>
        <w:t>sojn</w:t>
      </w:r>
      <w:r w:rsidR="00BD351D" w:rsidRPr="00991BFE">
        <w:rPr>
          <w:rFonts w:ascii="Times New Roman" w:hAnsi="Times New Roman"/>
          <w:sz w:val="24"/>
          <w:lang w:val="sq-AL"/>
        </w:rPr>
        <w:t>ë</w:t>
      </w:r>
      <w:r w:rsidR="00B469D9" w:rsidRPr="00991BFE">
        <w:rPr>
          <w:rFonts w:ascii="Times New Roman" w:hAnsi="Times New Roman"/>
          <w:sz w:val="24"/>
          <w:lang w:val="sq-AL"/>
        </w:rPr>
        <w:t xml:space="preserve"> </w:t>
      </w:r>
      <w:r w:rsidR="00991BFE" w:rsidRPr="00991BFE">
        <w:rPr>
          <w:rFonts w:ascii="Times New Roman" w:hAnsi="Times New Roman"/>
          <w:sz w:val="24"/>
          <w:lang w:val="sq-AL"/>
        </w:rPr>
        <w:t>barazinë</w:t>
      </w:r>
      <w:r w:rsidR="00B469D9" w:rsidRPr="00991BFE">
        <w:rPr>
          <w:rFonts w:ascii="Times New Roman" w:hAnsi="Times New Roman"/>
          <w:sz w:val="24"/>
          <w:lang w:val="sq-AL"/>
        </w:rPr>
        <w:t xml:space="preserve"> dhe </w:t>
      </w:r>
      <w:r w:rsidRPr="00991BFE">
        <w:rPr>
          <w:rFonts w:ascii="Times New Roman" w:hAnsi="Times New Roman"/>
          <w:sz w:val="24"/>
          <w:lang w:val="sq-AL"/>
        </w:rPr>
        <w:t xml:space="preserve">minimizojnë kostot e administrimi të taksës së pasurisë përmes </w:t>
      </w:r>
      <w:r w:rsidR="00B469D9" w:rsidRPr="00991BFE">
        <w:rPr>
          <w:rFonts w:ascii="Times New Roman" w:hAnsi="Times New Roman"/>
          <w:sz w:val="24"/>
          <w:lang w:val="sq-AL"/>
        </w:rPr>
        <w:t>standardizimit të proceseve dhe mbështetjes nga niveli qendror;</w:t>
      </w:r>
    </w:p>
    <w:p w14:paraId="1CC0BD24" w14:textId="77777777" w:rsidR="00C4771F" w:rsidRPr="00991BFE" w:rsidRDefault="00C4771F" w:rsidP="00B223D6">
      <w:pPr>
        <w:pStyle w:val="ListParagraph"/>
        <w:widowControl w:val="0"/>
        <w:spacing w:line="276" w:lineRule="auto"/>
        <w:jc w:val="both"/>
        <w:rPr>
          <w:rFonts w:ascii="Times New Roman" w:hAnsi="Times New Roman"/>
          <w:color w:val="000000" w:themeColor="text1"/>
          <w:sz w:val="24"/>
          <w:lang w:val="sq-AL"/>
        </w:rPr>
      </w:pPr>
    </w:p>
    <w:p w14:paraId="2924CA79" w14:textId="21BC927E" w:rsidR="00C4771F" w:rsidRPr="00991BFE" w:rsidRDefault="00C4771F" w:rsidP="00B223D6">
      <w:pPr>
        <w:pStyle w:val="ListParagraph"/>
        <w:widowControl w:val="0"/>
        <w:numPr>
          <w:ilvl w:val="0"/>
          <w:numId w:val="15"/>
        </w:numPr>
        <w:spacing w:line="276" w:lineRule="auto"/>
        <w:jc w:val="both"/>
        <w:rPr>
          <w:rFonts w:ascii="Times New Roman" w:hAnsi="Times New Roman"/>
          <w:color w:val="000000" w:themeColor="text1"/>
          <w:sz w:val="24"/>
          <w:lang w:val="sq-AL"/>
        </w:rPr>
      </w:pPr>
      <w:r w:rsidRPr="00991BFE">
        <w:rPr>
          <w:rFonts w:ascii="Times New Roman" w:hAnsi="Times New Roman"/>
          <w:color w:val="000000" w:themeColor="text1"/>
          <w:sz w:val="24"/>
          <w:lang w:val="sq-AL"/>
        </w:rPr>
        <w:t xml:space="preserve">Të ofrojnë </w:t>
      </w:r>
      <w:r w:rsidR="00103963" w:rsidRPr="00991BFE">
        <w:rPr>
          <w:rFonts w:ascii="Times New Roman" w:hAnsi="Times New Roman"/>
          <w:color w:val="000000" w:themeColor="text1"/>
          <w:sz w:val="24"/>
          <w:lang w:val="sq-AL"/>
        </w:rPr>
        <w:t xml:space="preserve">në vazhdimësi vlera të përditësuara të pasurive të paluajtshme, pra </w:t>
      </w:r>
      <w:r w:rsidRPr="00991BFE">
        <w:rPr>
          <w:rFonts w:ascii="Times New Roman" w:hAnsi="Times New Roman"/>
          <w:color w:val="000000" w:themeColor="text1"/>
          <w:sz w:val="24"/>
          <w:lang w:val="sq-AL"/>
        </w:rPr>
        <w:t xml:space="preserve">një bazë të drejtë për taksimin, </w:t>
      </w:r>
      <w:r w:rsidR="00103963" w:rsidRPr="00991BFE">
        <w:rPr>
          <w:rFonts w:ascii="Times New Roman" w:hAnsi="Times New Roman"/>
          <w:color w:val="000000" w:themeColor="text1"/>
          <w:sz w:val="24"/>
          <w:lang w:val="sq-AL"/>
        </w:rPr>
        <w:t>sigurojnë</w:t>
      </w:r>
      <w:r w:rsidRPr="00991BFE">
        <w:rPr>
          <w:rFonts w:ascii="Times New Roman" w:hAnsi="Times New Roman"/>
          <w:color w:val="000000" w:themeColor="text1"/>
          <w:sz w:val="24"/>
          <w:lang w:val="sq-AL"/>
        </w:rPr>
        <w:t xml:space="preserve"> qëndrueshmërinë dhe </w:t>
      </w:r>
      <w:r w:rsidR="00970C2E" w:rsidRPr="00991BFE">
        <w:rPr>
          <w:rFonts w:ascii="Times New Roman" w:hAnsi="Times New Roman"/>
          <w:color w:val="000000" w:themeColor="text1"/>
          <w:sz w:val="24"/>
          <w:lang w:val="sq-AL"/>
        </w:rPr>
        <w:t>forcojnë</w:t>
      </w:r>
      <w:r w:rsidRPr="00991BFE">
        <w:rPr>
          <w:rFonts w:ascii="Times New Roman" w:hAnsi="Times New Roman"/>
          <w:color w:val="000000" w:themeColor="text1"/>
          <w:sz w:val="24"/>
          <w:lang w:val="sq-AL"/>
        </w:rPr>
        <w:t xml:space="preserve"> gjithmonë e më shumë legjitimitetin e të gjithë sistemit në sytë e taksapaguesve;</w:t>
      </w:r>
    </w:p>
    <w:p w14:paraId="037846DF" w14:textId="77777777" w:rsidR="00C4771F" w:rsidRPr="00991BFE" w:rsidRDefault="00C4771F" w:rsidP="00C4771F">
      <w:pPr>
        <w:pStyle w:val="ListParagraph"/>
        <w:spacing w:line="276" w:lineRule="auto"/>
        <w:jc w:val="both"/>
        <w:rPr>
          <w:rFonts w:ascii="Times New Roman" w:hAnsi="Times New Roman"/>
          <w:sz w:val="24"/>
          <w:lang w:val="sq-AL"/>
        </w:rPr>
      </w:pPr>
    </w:p>
    <w:p w14:paraId="3843945B" w14:textId="77777777"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 xml:space="preserve">Të përmirësojnë efektivitetin e mbledhjes së taksës; </w:t>
      </w:r>
    </w:p>
    <w:p w14:paraId="139F3B81" w14:textId="77777777" w:rsidR="00C4771F" w:rsidRPr="00991BFE" w:rsidRDefault="00C4771F" w:rsidP="00C4771F">
      <w:pPr>
        <w:pStyle w:val="ListParagraph"/>
        <w:spacing w:line="276" w:lineRule="auto"/>
        <w:jc w:val="both"/>
        <w:rPr>
          <w:rFonts w:ascii="Times New Roman" w:hAnsi="Times New Roman"/>
          <w:sz w:val="24"/>
          <w:lang w:val="sq-AL"/>
        </w:rPr>
      </w:pPr>
    </w:p>
    <w:p w14:paraId="5EBA9289" w14:textId="77777777"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lastRenderedPageBreak/>
        <w:t>Të rregullojnë aspekte të parregulluara dhe optimizojnë disa prej proceseve kryesore të punës;</w:t>
      </w:r>
    </w:p>
    <w:p w14:paraId="36948755" w14:textId="77777777" w:rsidR="00C4771F" w:rsidRPr="00991BFE" w:rsidRDefault="00C4771F" w:rsidP="00C4771F">
      <w:pPr>
        <w:pStyle w:val="ListParagraph"/>
        <w:spacing w:line="276" w:lineRule="auto"/>
        <w:jc w:val="both"/>
        <w:rPr>
          <w:rFonts w:ascii="Times New Roman" w:hAnsi="Times New Roman"/>
          <w:sz w:val="24"/>
          <w:lang w:val="sq-AL"/>
        </w:rPr>
      </w:pPr>
    </w:p>
    <w:p w14:paraId="7B18A17D" w14:textId="77777777"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 xml:space="preserve">Të mbrojnë personat ose familjet me të ardhura të ulëta; </w:t>
      </w:r>
    </w:p>
    <w:p w14:paraId="7AF841E6" w14:textId="77777777" w:rsidR="00C4771F" w:rsidRPr="00991BFE" w:rsidRDefault="00C4771F" w:rsidP="00C4771F">
      <w:pPr>
        <w:pStyle w:val="ListParagraph"/>
        <w:spacing w:line="276" w:lineRule="auto"/>
        <w:jc w:val="both"/>
        <w:rPr>
          <w:rFonts w:ascii="Times New Roman" w:hAnsi="Times New Roman"/>
          <w:sz w:val="24"/>
          <w:lang w:val="sq-AL"/>
        </w:rPr>
      </w:pPr>
    </w:p>
    <w:p w14:paraId="210520BF" w14:textId="77777777"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 xml:space="preserve">Të rrisin transparencën dhe lehtësojnë ushtrimin e të drejtave dhe përmbushjen e detyrimeve nga taksapaguesit, përmes publikimit të një game të gjere informacioni; </w:t>
      </w:r>
    </w:p>
    <w:p w14:paraId="5CC61388" w14:textId="77777777" w:rsidR="00C4771F" w:rsidRPr="00991BFE" w:rsidRDefault="00C4771F" w:rsidP="00C4771F">
      <w:pPr>
        <w:pStyle w:val="ListParagraph"/>
        <w:spacing w:line="276" w:lineRule="auto"/>
        <w:jc w:val="both"/>
        <w:rPr>
          <w:rFonts w:ascii="Times New Roman" w:hAnsi="Times New Roman"/>
          <w:sz w:val="24"/>
          <w:lang w:val="sq-AL"/>
        </w:rPr>
      </w:pPr>
    </w:p>
    <w:p w14:paraId="35E82192" w14:textId="77777777"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Të vendosin një nivel të përshtatshëm taksimi për kategori të ndryshme të pronave, të përafruar me vendet e rajonit;</w:t>
      </w:r>
    </w:p>
    <w:p w14:paraId="255CBDB9" w14:textId="77777777" w:rsidR="00C4771F" w:rsidRPr="00991BFE" w:rsidRDefault="00C4771F" w:rsidP="00C4771F">
      <w:pPr>
        <w:pStyle w:val="ListParagraph"/>
        <w:rPr>
          <w:rFonts w:ascii="Times New Roman" w:hAnsi="Times New Roman"/>
          <w:sz w:val="24"/>
          <w:lang w:val="sq-AL"/>
        </w:rPr>
      </w:pPr>
    </w:p>
    <w:p w14:paraId="71E73A52" w14:textId="5A4CB893"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Të qartësojnë rregullat mbi rimbursimin e detyrimeve tatimore, ankimin dhe njoftimin e akteve;</w:t>
      </w:r>
    </w:p>
    <w:p w14:paraId="4EB54D01" w14:textId="77777777" w:rsidR="00C4771F" w:rsidRPr="00991BFE" w:rsidRDefault="00C4771F" w:rsidP="00C4771F">
      <w:pPr>
        <w:pStyle w:val="ListParagraph"/>
        <w:spacing w:line="276" w:lineRule="auto"/>
        <w:jc w:val="both"/>
        <w:rPr>
          <w:rFonts w:ascii="Times New Roman" w:hAnsi="Times New Roman"/>
          <w:sz w:val="24"/>
          <w:lang w:val="sq-AL"/>
        </w:rPr>
      </w:pPr>
    </w:p>
    <w:p w14:paraId="1C580AE3" w14:textId="71E46A58" w:rsidR="00C4771F" w:rsidRPr="00991BFE" w:rsidRDefault="000B2AA3"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Të forcojnë autonominë financiare të pushtetit vendor përmes krijimit të një burimi më të qëndrueshëm, më të drejtë dhe më të parashikueshëm të të ardhurave,</w:t>
      </w:r>
      <w:r w:rsidR="00E33E27">
        <w:rPr>
          <w:rFonts w:ascii="Times New Roman" w:hAnsi="Times New Roman"/>
          <w:sz w:val="24"/>
          <w:lang w:val="sq-AL"/>
        </w:rPr>
        <w:t xml:space="preserve"> </w:t>
      </w:r>
      <w:r w:rsidR="00C4771F" w:rsidRPr="00991BFE">
        <w:rPr>
          <w:rFonts w:ascii="Times New Roman" w:hAnsi="Times New Roman"/>
          <w:sz w:val="24"/>
          <w:lang w:val="sq-AL"/>
        </w:rPr>
        <w:t>duke fuqizuar kështu bashkitë dhe rritur në mënyrë të ndjeshme investimet dhe shërbimet për qytetarët dhe bizneset; si dhe</w:t>
      </w:r>
    </w:p>
    <w:p w14:paraId="78A6730A" w14:textId="77777777" w:rsidR="00C4771F" w:rsidRPr="00991BFE" w:rsidRDefault="00C4771F" w:rsidP="00C4771F">
      <w:pPr>
        <w:pStyle w:val="ListParagraph"/>
        <w:spacing w:line="276" w:lineRule="auto"/>
        <w:jc w:val="both"/>
        <w:rPr>
          <w:rFonts w:ascii="Times New Roman" w:hAnsi="Times New Roman"/>
          <w:sz w:val="24"/>
          <w:lang w:val="sq-AL"/>
        </w:rPr>
      </w:pPr>
    </w:p>
    <w:p w14:paraId="249838E7" w14:textId="77777777" w:rsidR="00C4771F" w:rsidRPr="00991BFE" w:rsidRDefault="00C4771F" w:rsidP="00C4771F">
      <w:pPr>
        <w:pStyle w:val="ListParagraph"/>
        <w:numPr>
          <w:ilvl w:val="0"/>
          <w:numId w:val="15"/>
        </w:numPr>
        <w:spacing w:line="276" w:lineRule="auto"/>
        <w:jc w:val="both"/>
        <w:rPr>
          <w:rFonts w:ascii="Times New Roman" w:hAnsi="Times New Roman"/>
          <w:sz w:val="24"/>
          <w:lang w:val="sq-AL"/>
        </w:rPr>
      </w:pPr>
      <w:r w:rsidRPr="00991BFE">
        <w:rPr>
          <w:rFonts w:ascii="Times New Roman" w:hAnsi="Times New Roman"/>
          <w:sz w:val="24"/>
          <w:lang w:val="sq-AL"/>
        </w:rPr>
        <w:t xml:space="preserve">Të kenë ndikime të tjera indirekte pozitive mbi ekonominë. </w:t>
      </w:r>
    </w:p>
    <w:p w14:paraId="7ECBA98A" w14:textId="77777777"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 xml:space="preserve">Elementët dhe politikat kryesore të projektligjit të propozuar janë shtjelluar së bashku me nenet përkatëse në mënyre të detajuar në pikën VI të këtij relacioni shoqërues. </w:t>
      </w:r>
    </w:p>
    <w:p w14:paraId="6634191A" w14:textId="77777777" w:rsidR="00C4771F" w:rsidRPr="00991BFE" w:rsidRDefault="00C4771F" w:rsidP="00C4771F">
      <w:pPr>
        <w:spacing w:line="276" w:lineRule="auto"/>
        <w:jc w:val="both"/>
        <w:rPr>
          <w:rFonts w:ascii="Times New Roman" w:hAnsi="Times New Roman"/>
          <w:sz w:val="24"/>
          <w:lang w:val="sq-AL"/>
        </w:rPr>
      </w:pPr>
    </w:p>
    <w:p w14:paraId="77B3F1F4" w14:textId="77777777" w:rsidR="00C4771F" w:rsidRPr="00991BFE" w:rsidRDefault="00C4771F" w:rsidP="00C4771F">
      <w:pPr>
        <w:pStyle w:val="Heading2"/>
        <w:numPr>
          <w:ilvl w:val="0"/>
          <w:numId w:val="12"/>
        </w:numPr>
        <w:spacing w:line="276" w:lineRule="auto"/>
        <w:jc w:val="both"/>
        <w:rPr>
          <w:rFonts w:ascii="Times New Roman" w:hAnsi="Times New Roman"/>
          <w:b/>
          <w:color w:val="auto"/>
          <w:sz w:val="24"/>
          <w:lang w:val="sq-AL"/>
        </w:rPr>
      </w:pPr>
      <w:r w:rsidRPr="00991BFE">
        <w:rPr>
          <w:rFonts w:ascii="Times New Roman" w:hAnsi="Times New Roman"/>
          <w:b/>
          <w:color w:val="auto"/>
          <w:sz w:val="24"/>
          <w:lang w:val="sq-AL"/>
        </w:rPr>
        <w:t>VLERËSIMI I LIGJSHMËRISË, KUSHTETUESHMËRISË DHE HARMONIZIMI ME LEGJISLACIONIN NË FUQI VENDAS E NDËRKOMBËTAR</w:t>
      </w:r>
    </w:p>
    <w:p w14:paraId="4D5612FA" w14:textId="77777777" w:rsidR="00C4771F" w:rsidRPr="00991BFE" w:rsidRDefault="00C4771F" w:rsidP="00C4771F">
      <w:pPr>
        <w:spacing w:line="276" w:lineRule="auto"/>
        <w:jc w:val="both"/>
        <w:rPr>
          <w:rFonts w:ascii="Times New Roman" w:hAnsi="Times New Roman"/>
          <w:sz w:val="24"/>
          <w:lang w:val="sq-AL"/>
        </w:rPr>
      </w:pPr>
    </w:p>
    <w:p w14:paraId="7A22EC0A" w14:textId="77777777" w:rsidR="00C4771F" w:rsidRPr="00991BFE" w:rsidRDefault="00C4771F" w:rsidP="00C4771F">
      <w:pPr>
        <w:spacing w:line="276" w:lineRule="auto"/>
        <w:jc w:val="both"/>
        <w:rPr>
          <w:rFonts w:ascii="Times New Roman" w:hAnsi="Times New Roman"/>
          <w:sz w:val="24"/>
          <w:lang w:val="sq-AL"/>
        </w:rPr>
      </w:pPr>
      <w:r w:rsidRPr="00991BFE">
        <w:rPr>
          <w:rFonts w:ascii="Times New Roman" w:hAnsi="Times New Roman"/>
          <w:sz w:val="24"/>
          <w:lang w:val="sq-AL"/>
        </w:rPr>
        <w:t xml:space="preserve">Projektligji është në përputhje me nenet 78, 81, pika 1, 83, pika 1, 113, pika 1, shkronja “ç”, 155 dhe 157, pika 3 të Kushtetutës. </w:t>
      </w:r>
      <w:r w:rsidRPr="00991BFE">
        <w:rPr>
          <w:rFonts w:ascii="Times New Roman" w:hAnsi="Times New Roman" w:cs="Times New Roman"/>
          <w:sz w:val="24"/>
          <w:szCs w:val="24"/>
          <w:lang w:val="sq-AL"/>
        </w:rPr>
        <w:t>Gjithashtu, projektligji</w:t>
      </w:r>
      <w:r w:rsidRPr="00991BFE">
        <w:rPr>
          <w:rFonts w:ascii="Times New Roman" w:hAnsi="Times New Roman"/>
          <w:sz w:val="24"/>
          <w:lang w:val="sq-AL"/>
        </w:rPr>
        <w:t xml:space="preserve"> është i harmonizuar me</w:t>
      </w:r>
      <w:r w:rsidRPr="00991BFE">
        <w:rPr>
          <w:rFonts w:ascii="Times New Roman" w:hAnsi="Times New Roman" w:cs="Times New Roman"/>
          <w:sz w:val="24"/>
          <w:szCs w:val="24"/>
          <w:lang w:val="sq-AL"/>
        </w:rPr>
        <w:t xml:space="preserve"> të</w:t>
      </w:r>
      <w:r w:rsidRPr="00991BFE">
        <w:rPr>
          <w:rFonts w:ascii="Times New Roman" w:hAnsi="Times New Roman"/>
          <w:sz w:val="24"/>
          <w:lang w:val="sq-AL"/>
        </w:rPr>
        <w:t xml:space="preserve"> gjithë kuadrin tjetër ligjor në fuqi në Republikën e Shqipërisë dhe në pajtim me standardet dhe konventat ndërkombëtare për të drejtat e njeriut.</w:t>
      </w:r>
    </w:p>
    <w:p w14:paraId="28C63911" w14:textId="77777777" w:rsidR="00C4771F" w:rsidRPr="00991BFE" w:rsidRDefault="00C4771F" w:rsidP="00C4771F">
      <w:pPr>
        <w:spacing w:line="276" w:lineRule="auto"/>
        <w:jc w:val="both"/>
        <w:rPr>
          <w:rFonts w:ascii="Times New Roman" w:hAnsi="Times New Roman"/>
          <w:sz w:val="24"/>
          <w:lang w:val="sq-AL"/>
        </w:rPr>
      </w:pPr>
    </w:p>
    <w:p w14:paraId="5787F759" w14:textId="77777777" w:rsidR="00C4771F" w:rsidRPr="00991BFE" w:rsidRDefault="00C4771F" w:rsidP="00C4771F">
      <w:pPr>
        <w:pStyle w:val="Heading2"/>
        <w:numPr>
          <w:ilvl w:val="0"/>
          <w:numId w:val="12"/>
        </w:numPr>
        <w:spacing w:line="276" w:lineRule="auto"/>
        <w:jc w:val="both"/>
        <w:rPr>
          <w:rFonts w:ascii="Times New Roman" w:hAnsi="Times New Roman"/>
          <w:b/>
          <w:color w:val="auto"/>
          <w:sz w:val="24"/>
          <w:lang w:val="sq-AL"/>
        </w:rPr>
      </w:pPr>
      <w:r w:rsidRPr="00991BFE">
        <w:rPr>
          <w:rFonts w:ascii="Times New Roman" w:hAnsi="Times New Roman"/>
          <w:b/>
          <w:color w:val="auto"/>
          <w:sz w:val="24"/>
          <w:lang w:val="sq-AL"/>
        </w:rPr>
        <w:t>VLERËSIMI I SHKALLËS SË PËRAFRIMIT ME ACQUIS COMMUNAUTAIRE (PËR PROJEKTAKTET NORMATIVE)</w:t>
      </w:r>
    </w:p>
    <w:p w14:paraId="1628F7B0" w14:textId="77777777" w:rsidR="00C4771F" w:rsidRPr="00991BFE" w:rsidRDefault="00C4771F" w:rsidP="00C4771F">
      <w:pPr>
        <w:spacing w:line="276" w:lineRule="auto"/>
        <w:ind w:left="720"/>
        <w:rPr>
          <w:rFonts w:ascii="Times New Roman" w:hAnsi="Times New Roman"/>
          <w:sz w:val="24"/>
          <w:lang w:val="sq-AL"/>
        </w:rPr>
      </w:pPr>
    </w:p>
    <w:p w14:paraId="04B609A9" w14:textId="01116172" w:rsidR="00147F95" w:rsidRPr="00991BFE" w:rsidRDefault="00C4771F" w:rsidP="006D047F">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Ky projektligj nuk synon përafrim të legjislacionit me acquis të Bashkimit Evropian, ndaj nuk ka vlerësim të shkallës së përafrimit</w:t>
      </w:r>
    </w:p>
    <w:p w14:paraId="569D589B" w14:textId="77777777" w:rsidR="00725CD1" w:rsidRPr="00991BFE" w:rsidRDefault="00725CD1" w:rsidP="001A79C0">
      <w:pPr>
        <w:pStyle w:val="Heading2"/>
        <w:numPr>
          <w:ilvl w:val="0"/>
          <w:numId w:val="12"/>
        </w:numPr>
        <w:spacing w:line="276" w:lineRule="auto"/>
        <w:jc w:val="both"/>
        <w:rPr>
          <w:rFonts w:ascii="Times New Roman" w:hAnsi="Times New Roman" w:cs="Times New Roman"/>
          <w:b/>
          <w:color w:val="auto"/>
          <w:sz w:val="24"/>
          <w:szCs w:val="24"/>
          <w:lang w:val="sq-AL"/>
        </w:rPr>
      </w:pPr>
      <w:r w:rsidRPr="00991BFE">
        <w:rPr>
          <w:rFonts w:ascii="Times New Roman" w:hAnsi="Times New Roman" w:cs="Times New Roman"/>
          <w:b/>
          <w:color w:val="auto"/>
          <w:sz w:val="24"/>
          <w:szCs w:val="24"/>
          <w:lang w:val="sq-AL"/>
        </w:rPr>
        <w:lastRenderedPageBreak/>
        <w:t>PËRMBLEDHJE SHPJEGUESE E PËRMBAJTJES SË PROJEKTAKTIT</w:t>
      </w:r>
    </w:p>
    <w:p w14:paraId="6D5D25B2" w14:textId="77777777" w:rsidR="00392226" w:rsidRPr="00991BFE" w:rsidRDefault="00392226" w:rsidP="00392226">
      <w:pPr>
        <w:spacing w:line="276" w:lineRule="auto"/>
        <w:jc w:val="both"/>
        <w:rPr>
          <w:rFonts w:ascii="Times New Roman" w:hAnsi="Times New Roman" w:cs="Times New Roman"/>
          <w:sz w:val="24"/>
          <w:szCs w:val="24"/>
          <w:lang w:val="sq-AL"/>
        </w:rPr>
      </w:pPr>
    </w:p>
    <w:p w14:paraId="297C1361" w14:textId="3B75DA83" w:rsidR="000C0959" w:rsidRPr="00991BFE" w:rsidRDefault="003F60FC" w:rsidP="0039222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Projektligji përbëhet prej dymbëdhjetë krerëve dhe ka gjithsej dyzet</w:t>
      </w:r>
      <w:r w:rsidR="00231F28"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 xml:space="preserve">nene. Ai përcakton rregullat dhe procedurat për administrimin </w:t>
      </w:r>
      <w:r w:rsidR="000A2272" w:rsidRPr="00991BFE">
        <w:rPr>
          <w:rFonts w:ascii="Times New Roman" w:hAnsi="Times New Roman" w:cs="Times New Roman"/>
          <w:sz w:val="24"/>
          <w:szCs w:val="24"/>
          <w:lang w:val="sq-AL"/>
        </w:rPr>
        <w:t>e taks</w:t>
      </w:r>
      <w:r w:rsidR="00173BD0" w:rsidRPr="00991BFE">
        <w:rPr>
          <w:rFonts w:ascii="Times New Roman" w:hAnsi="Times New Roman" w:cs="Times New Roman"/>
          <w:sz w:val="24"/>
          <w:szCs w:val="24"/>
          <w:lang w:val="sq-AL"/>
        </w:rPr>
        <w:t xml:space="preserve">ave mbi </w:t>
      </w:r>
      <w:r w:rsidR="007E32E2" w:rsidRPr="00991BFE">
        <w:rPr>
          <w:rFonts w:ascii="Times New Roman" w:hAnsi="Times New Roman" w:cs="Times New Roman"/>
          <w:sz w:val="24"/>
          <w:szCs w:val="24"/>
          <w:lang w:val="sq-AL"/>
        </w:rPr>
        <w:t>pasuritë</w:t>
      </w:r>
      <w:r w:rsidR="00173BD0" w:rsidRPr="00991BFE">
        <w:rPr>
          <w:rFonts w:ascii="Times New Roman" w:hAnsi="Times New Roman" w:cs="Times New Roman"/>
          <w:sz w:val="24"/>
          <w:szCs w:val="24"/>
          <w:lang w:val="sq-AL"/>
        </w:rPr>
        <w:t xml:space="preserve"> e paluajtshme</w:t>
      </w:r>
      <w:r w:rsidR="000A2272" w:rsidRPr="00991BFE">
        <w:rPr>
          <w:rFonts w:ascii="Times New Roman" w:hAnsi="Times New Roman" w:cs="Times New Roman"/>
          <w:sz w:val="24"/>
          <w:szCs w:val="24"/>
          <w:lang w:val="sq-AL"/>
        </w:rPr>
        <w:t xml:space="preserve"> nga b</w:t>
      </w:r>
      <w:r w:rsidR="00C75133" w:rsidRPr="00991BFE">
        <w:rPr>
          <w:rFonts w:ascii="Times New Roman" w:hAnsi="Times New Roman" w:cs="Times New Roman"/>
          <w:sz w:val="24"/>
          <w:szCs w:val="24"/>
          <w:lang w:val="sq-AL"/>
        </w:rPr>
        <w:t>ashkitë</w:t>
      </w:r>
      <w:r w:rsidRPr="00991BFE">
        <w:rPr>
          <w:rFonts w:ascii="Times New Roman" w:hAnsi="Times New Roman" w:cs="Times New Roman"/>
          <w:sz w:val="24"/>
          <w:szCs w:val="24"/>
          <w:lang w:val="sq-AL"/>
        </w:rPr>
        <w:t xml:space="preserve"> dhe Drejtoria e Përgjithshme e Taksës së Pasurisë. </w:t>
      </w:r>
    </w:p>
    <w:p w14:paraId="16D08A44" w14:textId="5A24F688" w:rsidR="00231F28" w:rsidRPr="00991BFE" w:rsidRDefault="007C11D9" w:rsidP="00231F28">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1</w:t>
      </w:r>
      <w:r w:rsidR="00533E48" w:rsidRPr="00991BFE">
        <w:rPr>
          <w:rFonts w:ascii="Times New Roman" w:hAnsi="Times New Roman" w:cs="Times New Roman"/>
          <w:sz w:val="24"/>
          <w:szCs w:val="24"/>
          <w:lang w:val="sq-AL"/>
        </w:rPr>
        <w:t>,</w:t>
      </w:r>
      <w:r w:rsidRPr="00991BFE">
        <w:rPr>
          <w:rFonts w:ascii="Times New Roman" w:hAnsi="Times New Roman" w:cs="Times New Roman"/>
          <w:sz w:val="24"/>
          <w:szCs w:val="24"/>
          <w:lang w:val="sq-AL"/>
        </w:rPr>
        <w:t xml:space="preserve"> </w:t>
      </w:r>
      <w:r w:rsidR="000F400E" w:rsidRPr="00991BFE">
        <w:rPr>
          <w:rFonts w:ascii="Times New Roman" w:hAnsi="Times New Roman" w:cs="Times New Roman"/>
          <w:sz w:val="24"/>
          <w:szCs w:val="24"/>
          <w:lang w:val="sq-AL"/>
        </w:rPr>
        <w:t>përcakton</w:t>
      </w:r>
      <w:r w:rsidR="00533E48" w:rsidRPr="00991BFE">
        <w:rPr>
          <w:rFonts w:ascii="Times New Roman" w:hAnsi="Times New Roman" w:cs="Times New Roman"/>
          <w:sz w:val="24"/>
          <w:szCs w:val="24"/>
          <w:lang w:val="sq-AL"/>
        </w:rPr>
        <w:t xml:space="preserve"> se objekti </w:t>
      </w:r>
      <w:r w:rsidR="00231F28" w:rsidRPr="00991BFE">
        <w:rPr>
          <w:rFonts w:ascii="Times New Roman" w:hAnsi="Times New Roman" w:cs="Times New Roman"/>
          <w:sz w:val="24"/>
          <w:szCs w:val="24"/>
          <w:lang w:val="sq-AL"/>
        </w:rPr>
        <w:t xml:space="preserve">i </w:t>
      </w:r>
      <w:r w:rsidR="00734D1B" w:rsidRPr="00991BFE">
        <w:rPr>
          <w:rFonts w:ascii="Times New Roman" w:hAnsi="Times New Roman" w:cs="Times New Roman"/>
          <w:sz w:val="24"/>
          <w:szCs w:val="24"/>
          <w:lang w:val="sq-AL"/>
        </w:rPr>
        <w:t>projekt</w:t>
      </w:r>
      <w:r w:rsidR="00231F28" w:rsidRPr="00991BFE">
        <w:rPr>
          <w:rFonts w:ascii="Times New Roman" w:hAnsi="Times New Roman" w:cs="Times New Roman"/>
          <w:sz w:val="24"/>
          <w:szCs w:val="24"/>
          <w:lang w:val="sq-AL"/>
        </w:rPr>
        <w:t>ligji</w:t>
      </w:r>
      <w:r w:rsidR="00734D1B" w:rsidRPr="00991BFE">
        <w:rPr>
          <w:rFonts w:ascii="Times New Roman" w:hAnsi="Times New Roman" w:cs="Times New Roman"/>
          <w:sz w:val="24"/>
          <w:szCs w:val="24"/>
          <w:lang w:val="sq-AL"/>
        </w:rPr>
        <w:t>t</w:t>
      </w:r>
      <w:r w:rsidR="00231F28" w:rsidRPr="00991BFE">
        <w:rPr>
          <w:rFonts w:ascii="Times New Roman" w:hAnsi="Times New Roman" w:cs="Times New Roman"/>
          <w:sz w:val="24"/>
          <w:szCs w:val="24"/>
          <w:lang w:val="sq-AL"/>
        </w:rPr>
        <w:t xml:space="preserve"> </w:t>
      </w:r>
      <w:r w:rsidR="00D3437F" w:rsidRPr="00991BFE">
        <w:rPr>
          <w:rFonts w:ascii="Times New Roman" w:hAnsi="Times New Roman" w:cs="Times New Roman"/>
          <w:sz w:val="24"/>
          <w:szCs w:val="24"/>
          <w:lang w:val="sq-AL"/>
        </w:rPr>
        <w:t>ë</w:t>
      </w:r>
      <w:r w:rsidR="00231F28" w:rsidRPr="00991BFE">
        <w:rPr>
          <w:rFonts w:ascii="Times New Roman" w:hAnsi="Times New Roman" w:cs="Times New Roman"/>
          <w:sz w:val="24"/>
          <w:szCs w:val="24"/>
          <w:lang w:val="sq-AL"/>
        </w:rPr>
        <w:t>sht</w:t>
      </w:r>
      <w:r w:rsidR="00D3437F" w:rsidRPr="00991BFE">
        <w:rPr>
          <w:rFonts w:ascii="Times New Roman" w:hAnsi="Times New Roman" w:cs="Times New Roman"/>
          <w:sz w:val="24"/>
          <w:szCs w:val="24"/>
          <w:lang w:val="sq-AL"/>
        </w:rPr>
        <w:t>ë</w:t>
      </w:r>
      <w:r w:rsidR="00231F28" w:rsidRPr="00991BFE">
        <w:rPr>
          <w:rFonts w:ascii="Times New Roman" w:hAnsi="Times New Roman" w:cs="Times New Roman"/>
          <w:sz w:val="24"/>
          <w:szCs w:val="24"/>
          <w:lang w:val="sq-AL"/>
        </w:rPr>
        <w:t xml:space="preserve"> përcaktimi i: </w:t>
      </w:r>
    </w:p>
    <w:p w14:paraId="173CF4F1" w14:textId="77777777" w:rsidR="00125EC0" w:rsidRPr="00991BFE" w:rsidRDefault="00125EC0" w:rsidP="00125EC0">
      <w:pPr>
        <w:pStyle w:val="ListParagraph"/>
        <w:numPr>
          <w:ilvl w:val="0"/>
          <w:numId w:val="19"/>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Rregullave dhe procedurave për administrimin e taksës mbi pasurinë e paluajtshme, të bazuar në vlerën e përafërt të tregut të pasurisë së paluajtshme;</w:t>
      </w:r>
    </w:p>
    <w:p w14:paraId="5CEF3054" w14:textId="77777777" w:rsidR="00125EC0" w:rsidRPr="00991BFE" w:rsidRDefault="00125EC0" w:rsidP="00125EC0">
      <w:pPr>
        <w:pStyle w:val="ListParagraph"/>
        <w:numPr>
          <w:ilvl w:val="0"/>
          <w:numId w:val="19"/>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Rregullave dhe procedurave për administrimin, për një periudhë kalimtare, të taksës mbi ndërtesën të bazuar në vlerën e njësisë së ndërtesës, si dhe taksave mbi tokën bujqësore dhe truallin, të bazuara në sipërfaqen e tyre; </w:t>
      </w:r>
    </w:p>
    <w:p w14:paraId="58EB2EEB" w14:textId="5F1DEAC5" w:rsidR="00125EC0" w:rsidRPr="00991BFE" w:rsidRDefault="00125EC0" w:rsidP="00125EC0">
      <w:pPr>
        <w:pStyle w:val="ListParagraph"/>
        <w:numPr>
          <w:ilvl w:val="0"/>
          <w:numId w:val="19"/>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Autoritetit përgjegjës për administrimin e taksave të përcaktuara në pikat 1 dhe 2, të këtij neni dhe autoriteteve përgjegjëse për vlerësimin e pasurive të paluajtshme.</w:t>
      </w:r>
    </w:p>
    <w:p w14:paraId="5D569BDB" w14:textId="334CB90B" w:rsidR="00231F28" w:rsidRPr="00991BFE" w:rsidRDefault="00533E48" w:rsidP="005F19B7">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2</w:t>
      </w:r>
      <w:r w:rsidRPr="00991BFE">
        <w:rPr>
          <w:rFonts w:ascii="Times New Roman" w:hAnsi="Times New Roman" w:cs="Times New Roman"/>
          <w:sz w:val="24"/>
          <w:szCs w:val="24"/>
          <w:lang w:val="sq-AL"/>
        </w:rPr>
        <w:t>,</w:t>
      </w:r>
      <w:r w:rsidR="00231F28" w:rsidRPr="00991BFE">
        <w:rPr>
          <w:rFonts w:ascii="Times New Roman" w:hAnsi="Times New Roman" w:cs="Times New Roman"/>
          <w:sz w:val="24"/>
          <w:szCs w:val="24"/>
          <w:lang w:val="sq-AL"/>
        </w:rPr>
        <w:t xml:space="preserve"> p</w:t>
      </w:r>
      <w:r w:rsidR="00D3437F" w:rsidRPr="00991BFE">
        <w:rPr>
          <w:rFonts w:ascii="Times New Roman" w:hAnsi="Times New Roman" w:cs="Times New Roman"/>
          <w:sz w:val="24"/>
          <w:szCs w:val="24"/>
          <w:lang w:val="sq-AL"/>
        </w:rPr>
        <w:t>ë</w:t>
      </w:r>
      <w:r w:rsidR="006868A5" w:rsidRPr="00991BFE">
        <w:rPr>
          <w:rFonts w:ascii="Times New Roman" w:hAnsi="Times New Roman" w:cs="Times New Roman"/>
          <w:sz w:val="24"/>
          <w:szCs w:val="24"/>
          <w:lang w:val="sq-AL"/>
        </w:rPr>
        <w:t>rcakton</w:t>
      </w:r>
      <w:r w:rsidR="00231F28" w:rsidRPr="00991BFE">
        <w:rPr>
          <w:rFonts w:ascii="Times New Roman" w:hAnsi="Times New Roman" w:cs="Times New Roman"/>
          <w:sz w:val="24"/>
          <w:szCs w:val="24"/>
          <w:lang w:val="sq-AL"/>
        </w:rPr>
        <w:t xml:space="preserve"> se </w:t>
      </w:r>
      <w:r w:rsidR="00125EC0" w:rsidRPr="00991BFE">
        <w:rPr>
          <w:rFonts w:ascii="Times New Roman" w:hAnsi="Times New Roman" w:cs="Times New Roman"/>
          <w:sz w:val="24"/>
          <w:szCs w:val="24"/>
          <w:lang w:val="sq-AL"/>
        </w:rPr>
        <w:t xml:space="preserve">qëllimi i  </w:t>
      </w:r>
      <w:r w:rsidR="00397758">
        <w:rPr>
          <w:rFonts w:ascii="Times New Roman" w:hAnsi="Times New Roman" w:cs="Times New Roman"/>
          <w:sz w:val="24"/>
          <w:szCs w:val="24"/>
          <w:lang w:val="sq-AL"/>
        </w:rPr>
        <w:t>projekt</w:t>
      </w:r>
      <w:r w:rsidR="00125EC0" w:rsidRPr="00991BFE">
        <w:rPr>
          <w:rFonts w:ascii="Times New Roman" w:hAnsi="Times New Roman" w:cs="Times New Roman"/>
          <w:sz w:val="24"/>
          <w:szCs w:val="24"/>
          <w:lang w:val="sq-AL"/>
        </w:rPr>
        <w:t>ligji</w:t>
      </w:r>
      <w:r w:rsidR="00397758">
        <w:rPr>
          <w:rFonts w:ascii="Times New Roman" w:hAnsi="Times New Roman" w:cs="Times New Roman"/>
          <w:sz w:val="24"/>
          <w:szCs w:val="24"/>
          <w:lang w:val="sq-AL"/>
        </w:rPr>
        <w:t>t</w:t>
      </w:r>
      <w:r w:rsidR="00125EC0" w:rsidRPr="00991BFE">
        <w:rPr>
          <w:rFonts w:ascii="Times New Roman" w:hAnsi="Times New Roman" w:cs="Times New Roman"/>
          <w:sz w:val="24"/>
          <w:szCs w:val="24"/>
          <w:lang w:val="sq-AL"/>
        </w:rPr>
        <w:t xml:space="preserve"> është krijimi i një sistemi të drejtë, funksional, transparent dhe të qëndrueshëm për taksimin e pasurive të paluajtshme</w:t>
      </w:r>
      <w:r w:rsidR="00734D1B" w:rsidRPr="00991BFE">
        <w:rPr>
          <w:rFonts w:ascii="Times New Roman" w:hAnsi="Times New Roman" w:cs="Times New Roman"/>
          <w:sz w:val="24"/>
          <w:szCs w:val="24"/>
          <w:lang w:val="sq-AL"/>
        </w:rPr>
        <w:t>.</w:t>
      </w:r>
    </w:p>
    <w:p w14:paraId="4373CE71" w14:textId="3AA45CA7" w:rsidR="000F400E" w:rsidRPr="00991BFE" w:rsidRDefault="00533E48" w:rsidP="005F19B7">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3</w:t>
      </w:r>
      <w:r w:rsidRPr="00991BFE">
        <w:rPr>
          <w:rFonts w:ascii="Times New Roman" w:hAnsi="Times New Roman" w:cs="Times New Roman"/>
          <w:sz w:val="24"/>
          <w:szCs w:val="24"/>
          <w:lang w:val="sq-AL"/>
        </w:rPr>
        <w:t xml:space="preserve">, </w:t>
      </w:r>
      <w:r w:rsidR="00231F28" w:rsidRPr="00991BFE">
        <w:rPr>
          <w:rFonts w:ascii="Times New Roman" w:hAnsi="Times New Roman" w:cs="Times New Roman"/>
          <w:bCs/>
          <w:sz w:val="24"/>
          <w:szCs w:val="24"/>
          <w:lang w:val="sq-AL"/>
        </w:rPr>
        <w:t>p</w:t>
      </w:r>
      <w:r w:rsidR="00D3437F" w:rsidRPr="00991BFE">
        <w:rPr>
          <w:rFonts w:ascii="Times New Roman" w:hAnsi="Times New Roman" w:cs="Times New Roman"/>
          <w:bCs/>
          <w:sz w:val="24"/>
          <w:szCs w:val="24"/>
          <w:lang w:val="sq-AL"/>
        </w:rPr>
        <w:t>ë</w:t>
      </w:r>
      <w:r w:rsidR="006868A5" w:rsidRPr="00991BFE">
        <w:rPr>
          <w:rFonts w:ascii="Times New Roman" w:hAnsi="Times New Roman" w:cs="Times New Roman"/>
          <w:bCs/>
          <w:sz w:val="24"/>
          <w:szCs w:val="24"/>
          <w:lang w:val="sq-AL"/>
        </w:rPr>
        <w:t>rcakton</w:t>
      </w:r>
      <w:r w:rsidR="00231F28" w:rsidRPr="00991BFE">
        <w:rPr>
          <w:rFonts w:ascii="Times New Roman" w:hAnsi="Times New Roman" w:cs="Times New Roman"/>
          <w:bCs/>
          <w:sz w:val="24"/>
          <w:szCs w:val="24"/>
          <w:lang w:val="sq-AL"/>
        </w:rPr>
        <w:t xml:space="preserve"> p</w:t>
      </w:r>
      <w:r w:rsidR="00D3437F" w:rsidRPr="00991BFE">
        <w:rPr>
          <w:rFonts w:ascii="Times New Roman" w:hAnsi="Times New Roman" w:cs="Times New Roman"/>
          <w:bCs/>
          <w:sz w:val="24"/>
          <w:szCs w:val="24"/>
          <w:lang w:val="sq-AL"/>
        </w:rPr>
        <w:t>ë</w:t>
      </w:r>
      <w:r w:rsidR="00231F28" w:rsidRPr="00991BFE">
        <w:rPr>
          <w:rFonts w:ascii="Times New Roman" w:hAnsi="Times New Roman" w:cs="Times New Roman"/>
          <w:bCs/>
          <w:sz w:val="24"/>
          <w:szCs w:val="24"/>
          <w:lang w:val="sq-AL"/>
        </w:rPr>
        <w:t>rkufizim</w:t>
      </w:r>
      <w:r w:rsidR="00734D1B" w:rsidRPr="00991BFE">
        <w:rPr>
          <w:rFonts w:ascii="Times New Roman" w:hAnsi="Times New Roman" w:cs="Times New Roman"/>
          <w:bCs/>
          <w:sz w:val="24"/>
          <w:szCs w:val="24"/>
          <w:lang w:val="sq-AL"/>
        </w:rPr>
        <w:t>et</w:t>
      </w:r>
      <w:r w:rsidR="00231F28" w:rsidRPr="00991BFE">
        <w:rPr>
          <w:rFonts w:ascii="Times New Roman" w:hAnsi="Times New Roman" w:cs="Times New Roman"/>
          <w:bCs/>
          <w:sz w:val="24"/>
          <w:szCs w:val="24"/>
          <w:lang w:val="sq-AL"/>
        </w:rPr>
        <w:t xml:space="preserve"> </w:t>
      </w:r>
      <w:r w:rsidR="00734D1B" w:rsidRPr="00991BFE">
        <w:rPr>
          <w:rFonts w:ascii="Times New Roman" w:hAnsi="Times New Roman" w:cs="Times New Roman"/>
          <w:bCs/>
          <w:sz w:val="24"/>
          <w:szCs w:val="24"/>
          <w:lang w:val="sq-AL"/>
        </w:rPr>
        <w:t xml:space="preserve">e </w:t>
      </w:r>
      <w:r w:rsidR="008D7A6E" w:rsidRPr="00991BFE">
        <w:rPr>
          <w:rFonts w:ascii="Times New Roman" w:hAnsi="Times New Roman" w:cs="Times New Roman"/>
          <w:bCs/>
          <w:sz w:val="24"/>
          <w:szCs w:val="24"/>
          <w:lang w:val="sq-AL"/>
        </w:rPr>
        <w:t>termave të përdorura në tekstin e projektligjit, me q</w:t>
      </w:r>
      <w:r w:rsidR="00D3437F" w:rsidRPr="00991BFE">
        <w:rPr>
          <w:rFonts w:ascii="Times New Roman" w:hAnsi="Times New Roman" w:cs="Times New Roman"/>
          <w:bCs/>
          <w:sz w:val="24"/>
          <w:szCs w:val="24"/>
          <w:lang w:val="sq-AL"/>
        </w:rPr>
        <w:t>ë</w:t>
      </w:r>
      <w:r w:rsidR="008D7A6E" w:rsidRPr="00991BFE">
        <w:rPr>
          <w:rFonts w:ascii="Times New Roman" w:hAnsi="Times New Roman" w:cs="Times New Roman"/>
          <w:bCs/>
          <w:sz w:val="24"/>
          <w:szCs w:val="24"/>
          <w:lang w:val="sq-AL"/>
        </w:rPr>
        <w:t xml:space="preserve">llim </w:t>
      </w:r>
      <w:r w:rsidR="00890A5F" w:rsidRPr="00991BFE">
        <w:rPr>
          <w:rFonts w:ascii="Times New Roman" w:hAnsi="Times New Roman" w:cs="Times New Roman"/>
          <w:bCs/>
          <w:sz w:val="24"/>
          <w:szCs w:val="24"/>
          <w:lang w:val="sq-AL"/>
        </w:rPr>
        <w:t xml:space="preserve">shpjegimin e  kuptimit </w:t>
      </w:r>
      <w:r w:rsidR="0055447E" w:rsidRPr="00991BFE">
        <w:rPr>
          <w:rFonts w:ascii="Times New Roman" w:hAnsi="Times New Roman" w:cs="Times New Roman"/>
          <w:bCs/>
          <w:sz w:val="24"/>
          <w:szCs w:val="24"/>
          <w:lang w:val="sq-AL"/>
        </w:rPr>
        <w:t>dhe zbatimin</w:t>
      </w:r>
      <w:r w:rsidR="00890A5F" w:rsidRPr="00991BFE">
        <w:rPr>
          <w:rFonts w:ascii="Times New Roman" w:hAnsi="Times New Roman" w:cs="Times New Roman"/>
          <w:bCs/>
          <w:sz w:val="24"/>
          <w:szCs w:val="24"/>
          <w:lang w:val="sq-AL"/>
        </w:rPr>
        <w:t xml:space="preserve"> </w:t>
      </w:r>
      <w:r w:rsidR="0055447E" w:rsidRPr="00991BFE">
        <w:rPr>
          <w:rFonts w:ascii="Times New Roman" w:hAnsi="Times New Roman" w:cs="Times New Roman"/>
          <w:bCs/>
          <w:sz w:val="24"/>
          <w:szCs w:val="24"/>
          <w:lang w:val="sq-AL"/>
        </w:rPr>
        <w:t>e</w:t>
      </w:r>
      <w:r w:rsidR="009723DC" w:rsidRPr="00991BFE">
        <w:rPr>
          <w:rFonts w:ascii="Times New Roman" w:hAnsi="Times New Roman" w:cs="Times New Roman"/>
          <w:bCs/>
          <w:sz w:val="24"/>
          <w:szCs w:val="24"/>
          <w:lang w:val="sq-AL"/>
        </w:rPr>
        <w:t xml:space="preserve"> dispozitave </w:t>
      </w:r>
      <w:r w:rsidR="00890A5F" w:rsidRPr="00991BFE">
        <w:rPr>
          <w:rFonts w:ascii="Times New Roman" w:hAnsi="Times New Roman" w:cs="Times New Roman"/>
          <w:bCs/>
          <w:sz w:val="24"/>
          <w:szCs w:val="24"/>
          <w:lang w:val="sq-AL"/>
        </w:rPr>
        <w:t>ku ato janë përdorur</w:t>
      </w:r>
      <w:r w:rsidR="00202F11" w:rsidRPr="00991BFE">
        <w:rPr>
          <w:rFonts w:ascii="Times New Roman" w:hAnsi="Times New Roman" w:cs="Times New Roman"/>
          <w:bCs/>
          <w:sz w:val="24"/>
          <w:szCs w:val="24"/>
          <w:lang w:val="sq-AL"/>
        </w:rPr>
        <w:t>.</w:t>
      </w:r>
      <w:r w:rsidR="009723DC" w:rsidRPr="00991BFE">
        <w:rPr>
          <w:lang w:val="sq-AL"/>
        </w:rPr>
        <w:t xml:space="preserve"> </w:t>
      </w:r>
    </w:p>
    <w:p w14:paraId="13FE7C58" w14:textId="25E32CBB" w:rsidR="008D7A6E" w:rsidRPr="00991BFE" w:rsidRDefault="000F400E" w:rsidP="005F19B7">
      <w:pPr>
        <w:spacing w:line="276" w:lineRule="auto"/>
        <w:jc w:val="both"/>
        <w:rPr>
          <w:lang w:val="sq-AL"/>
        </w:rPr>
      </w:pPr>
      <w:r w:rsidRPr="00991BFE">
        <w:rPr>
          <w:rFonts w:ascii="Times New Roman" w:hAnsi="Times New Roman" w:cs="Times New Roman"/>
          <w:b/>
          <w:sz w:val="24"/>
          <w:szCs w:val="24"/>
          <w:lang w:val="sq-AL"/>
        </w:rPr>
        <w:t>Neni 4</w:t>
      </w:r>
      <w:r w:rsidRPr="00991BFE">
        <w:rPr>
          <w:rFonts w:ascii="Times New Roman" w:hAnsi="Times New Roman" w:cs="Times New Roman"/>
          <w:sz w:val="24"/>
          <w:szCs w:val="24"/>
          <w:lang w:val="sq-AL"/>
        </w:rPr>
        <w:t>,</w:t>
      </w:r>
      <w:r w:rsidR="002E180F" w:rsidRPr="00991BFE">
        <w:rPr>
          <w:rFonts w:ascii="Times New Roman" w:hAnsi="Times New Roman" w:cs="Times New Roman"/>
          <w:b/>
          <w:sz w:val="24"/>
          <w:szCs w:val="24"/>
          <w:lang w:val="sq-AL"/>
        </w:rPr>
        <w:t xml:space="preserve"> </w:t>
      </w:r>
      <w:r w:rsidR="008D7A6E" w:rsidRPr="00991BFE">
        <w:rPr>
          <w:rFonts w:ascii="Times New Roman" w:hAnsi="Times New Roman" w:cs="Times New Roman"/>
          <w:bCs/>
          <w:sz w:val="24"/>
          <w:szCs w:val="24"/>
          <w:lang w:val="sq-AL"/>
        </w:rPr>
        <w:t>p</w:t>
      </w:r>
      <w:r w:rsidR="00D3437F" w:rsidRPr="00991BFE">
        <w:rPr>
          <w:rFonts w:ascii="Times New Roman" w:hAnsi="Times New Roman" w:cs="Times New Roman"/>
          <w:bCs/>
          <w:sz w:val="24"/>
          <w:szCs w:val="24"/>
          <w:lang w:val="sq-AL"/>
        </w:rPr>
        <w:t>ë</w:t>
      </w:r>
      <w:r w:rsidR="008D7A6E" w:rsidRPr="00991BFE">
        <w:rPr>
          <w:rFonts w:ascii="Times New Roman" w:hAnsi="Times New Roman" w:cs="Times New Roman"/>
          <w:bCs/>
          <w:sz w:val="24"/>
          <w:szCs w:val="24"/>
          <w:lang w:val="sq-AL"/>
        </w:rPr>
        <w:t>r</w:t>
      </w:r>
      <w:r w:rsidR="00E5310C" w:rsidRPr="00991BFE">
        <w:rPr>
          <w:rFonts w:ascii="Times New Roman" w:hAnsi="Times New Roman" w:cs="Times New Roman"/>
          <w:bCs/>
          <w:sz w:val="24"/>
          <w:szCs w:val="24"/>
          <w:lang w:val="sq-AL"/>
        </w:rPr>
        <w:t xml:space="preserve">cakton se </w:t>
      </w:r>
      <w:r w:rsidR="00125EC0" w:rsidRPr="00991BFE">
        <w:rPr>
          <w:rFonts w:ascii="Times New Roman" w:hAnsi="Times New Roman" w:cs="Times New Roman"/>
          <w:bCs/>
          <w:sz w:val="24"/>
          <w:szCs w:val="24"/>
          <w:lang w:val="sq-AL"/>
        </w:rPr>
        <w:t>taksa mbi pasurinë e paluajtshme është taksë vendore, vjetore.</w:t>
      </w:r>
      <w:r w:rsidR="00E5310C" w:rsidRPr="00991BFE">
        <w:rPr>
          <w:rFonts w:ascii="Times New Roman" w:hAnsi="Times New Roman" w:cs="Times New Roman"/>
          <w:sz w:val="24"/>
          <w:szCs w:val="24"/>
          <w:lang w:val="sq-AL"/>
        </w:rPr>
        <w:t xml:space="preserve"> Gjithashtu, ky nen</w:t>
      </w:r>
      <w:r w:rsidR="009C5DCA" w:rsidRPr="00991BFE">
        <w:rPr>
          <w:rFonts w:ascii="Times New Roman" w:hAnsi="Times New Roman" w:cs="Times New Roman"/>
          <w:bCs/>
          <w:sz w:val="24"/>
          <w:szCs w:val="24"/>
          <w:lang w:val="sq-AL"/>
        </w:rPr>
        <w:t xml:space="preserve"> përcakton </w:t>
      </w:r>
      <w:r w:rsidR="00E5310C" w:rsidRPr="00991BFE">
        <w:rPr>
          <w:rFonts w:ascii="Times New Roman" w:hAnsi="Times New Roman" w:cs="Times New Roman"/>
          <w:sz w:val="24"/>
          <w:szCs w:val="24"/>
          <w:lang w:val="sq-AL"/>
        </w:rPr>
        <w:t xml:space="preserve">se </w:t>
      </w:r>
      <w:r w:rsidR="00125EC0" w:rsidRPr="00991BFE">
        <w:rPr>
          <w:rFonts w:ascii="Times New Roman" w:hAnsi="Times New Roman" w:cs="Times New Roman"/>
          <w:sz w:val="24"/>
          <w:szCs w:val="24"/>
          <w:lang w:val="sq-AL"/>
        </w:rPr>
        <w:t>të ardhurat e mbledhura nga taksa mbi pasurinë e paluajtshme derdhen për llogari të Bashkisë, në territorin e së cilës ndodhet pasuria e paluajtshme dhe përdoren nga Bashkia në përputhje me legjislacionin në fuqi për financat e vetëqeverisjes vendore</w:t>
      </w:r>
      <w:r w:rsidR="006868A5" w:rsidRPr="00991BFE">
        <w:rPr>
          <w:rFonts w:ascii="Times New Roman" w:hAnsi="Times New Roman" w:cs="Times New Roman"/>
          <w:sz w:val="24"/>
          <w:szCs w:val="24"/>
          <w:lang w:val="sq-AL"/>
        </w:rPr>
        <w:t>.</w:t>
      </w:r>
    </w:p>
    <w:p w14:paraId="04CAE400" w14:textId="2163B297" w:rsidR="000C0959" w:rsidRPr="00991BFE" w:rsidRDefault="000C0959" w:rsidP="005F19B7">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 xml:space="preserve">Neni 5, </w:t>
      </w:r>
      <w:r w:rsidR="006868A5"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6868A5" w:rsidRPr="00991BFE">
        <w:rPr>
          <w:rFonts w:ascii="Times New Roman" w:hAnsi="Times New Roman" w:cs="Times New Roman"/>
          <w:sz w:val="24"/>
          <w:szCs w:val="24"/>
          <w:lang w:val="sq-AL"/>
        </w:rPr>
        <w:t xml:space="preserve">rcakton </w:t>
      </w:r>
      <w:r w:rsidRPr="00991BFE">
        <w:rPr>
          <w:rFonts w:ascii="Times New Roman" w:hAnsi="Times New Roman" w:cs="Times New Roman"/>
          <w:sz w:val="24"/>
          <w:szCs w:val="24"/>
          <w:lang w:val="sq-AL"/>
        </w:rPr>
        <w:t>se</w:t>
      </w:r>
      <w:r w:rsidR="00156E9B" w:rsidRPr="00991BFE">
        <w:rPr>
          <w:rFonts w:ascii="Times New Roman" w:hAnsi="Times New Roman" w:cs="Times New Roman"/>
          <w:sz w:val="24"/>
          <w:szCs w:val="24"/>
          <w:lang w:val="sq-AL"/>
        </w:rPr>
        <w:t xml:space="preserve"> </w:t>
      </w:r>
      <w:r w:rsidR="0076799E" w:rsidRPr="00991BFE">
        <w:rPr>
          <w:rFonts w:ascii="Times New Roman" w:hAnsi="Times New Roman" w:cs="Times New Roman"/>
          <w:sz w:val="24"/>
          <w:szCs w:val="24"/>
          <w:lang w:val="sq-AL"/>
        </w:rPr>
        <w:t xml:space="preserve">në rast se pasuria e paluajtshme shtrihet në territorin e më shumë se një Bashkie, secila Bashki e trajton pjesën e pasurisë së paluajtshme që shtrihet në territorin e saj, si pasuri me vete, për qëllimet e zbatimit të </w:t>
      </w:r>
      <w:r w:rsidR="00B7390D">
        <w:rPr>
          <w:rFonts w:ascii="Times New Roman" w:hAnsi="Times New Roman" w:cs="Times New Roman"/>
          <w:sz w:val="24"/>
          <w:szCs w:val="24"/>
          <w:lang w:val="sq-AL"/>
        </w:rPr>
        <w:t>parashikimeve të</w:t>
      </w:r>
      <w:r w:rsidR="0076799E" w:rsidRPr="00991BFE">
        <w:rPr>
          <w:rFonts w:ascii="Times New Roman" w:hAnsi="Times New Roman" w:cs="Times New Roman"/>
          <w:sz w:val="24"/>
          <w:szCs w:val="24"/>
          <w:lang w:val="sq-AL"/>
        </w:rPr>
        <w:t xml:space="preserve"> </w:t>
      </w:r>
      <w:r w:rsidR="00B7390D">
        <w:rPr>
          <w:rFonts w:ascii="Times New Roman" w:hAnsi="Times New Roman" w:cs="Times New Roman"/>
          <w:sz w:val="24"/>
          <w:szCs w:val="24"/>
          <w:lang w:val="sq-AL"/>
        </w:rPr>
        <w:t>projekt</w:t>
      </w:r>
      <w:r w:rsidR="0076799E" w:rsidRPr="00991BFE">
        <w:rPr>
          <w:rFonts w:ascii="Times New Roman" w:hAnsi="Times New Roman" w:cs="Times New Roman"/>
          <w:sz w:val="24"/>
          <w:szCs w:val="24"/>
          <w:lang w:val="sq-AL"/>
        </w:rPr>
        <w:t>ligji</w:t>
      </w:r>
      <w:r w:rsidR="007645D8">
        <w:rPr>
          <w:rFonts w:ascii="Times New Roman" w:hAnsi="Times New Roman" w:cs="Times New Roman"/>
          <w:sz w:val="24"/>
          <w:szCs w:val="24"/>
          <w:lang w:val="sq-AL"/>
        </w:rPr>
        <w:t>t</w:t>
      </w:r>
      <w:r w:rsidRPr="00991BFE">
        <w:rPr>
          <w:rFonts w:ascii="Times New Roman" w:hAnsi="Times New Roman" w:cs="Times New Roman"/>
          <w:sz w:val="24"/>
          <w:szCs w:val="24"/>
          <w:lang w:val="sq-AL"/>
        </w:rPr>
        <w:t>.</w:t>
      </w:r>
    </w:p>
    <w:p w14:paraId="76998034" w14:textId="2EF8DE6A" w:rsidR="005F19B7" w:rsidRPr="00991BFE" w:rsidRDefault="009E3E55" w:rsidP="005F19B7">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w:t>
      </w:r>
      <w:r w:rsidR="000C0959" w:rsidRPr="00991BFE">
        <w:rPr>
          <w:rFonts w:ascii="Times New Roman" w:hAnsi="Times New Roman" w:cs="Times New Roman"/>
          <w:b/>
          <w:sz w:val="24"/>
          <w:szCs w:val="24"/>
          <w:lang w:val="sq-AL"/>
        </w:rPr>
        <w:t>eni 6</w:t>
      </w:r>
      <w:r w:rsidR="002E180F" w:rsidRPr="00991BFE">
        <w:rPr>
          <w:rFonts w:ascii="Times New Roman" w:hAnsi="Times New Roman" w:cs="Times New Roman"/>
          <w:sz w:val="24"/>
          <w:szCs w:val="24"/>
          <w:lang w:val="sq-AL"/>
        </w:rPr>
        <w:t xml:space="preserve">, </w:t>
      </w:r>
      <w:r w:rsidR="00766A63" w:rsidRPr="00991BFE">
        <w:rPr>
          <w:rFonts w:ascii="Times New Roman" w:hAnsi="Times New Roman" w:cs="Times New Roman"/>
          <w:sz w:val="24"/>
          <w:szCs w:val="24"/>
          <w:lang w:val="sq-AL"/>
        </w:rPr>
        <w:t xml:space="preserve">përcakton se </w:t>
      </w:r>
      <w:r w:rsidR="0076799E" w:rsidRPr="00991BFE">
        <w:rPr>
          <w:rFonts w:ascii="Times New Roman" w:hAnsi="Times New Roman" w:cs="Times New Roman"/>
          <w:sz w:val="24"/>
          <w:szCs w:val="24"/>
          <w:lang w:val="sq-AL"/>
        </w:rPr>
        <w:t>taksa mbi pasurinë e paluajtshme vendoset mbi të gjithë pasuritë e paluajtshme, të cilat ndodhen në territorin e Republikës së Shqipërisë, pavarësisht nga niveli i shfrytëzimit të pasurive të paluajtshme</w:t>
      </w:r>
      <w:r w:rsidR="00766A63" w:rsidRPr="00991BFE">
        <w:rPr>
          <w:rFonts w:ascii="Times New Roman" w:hAnsi="Times New Roman" w:cs="Times New Roman"/>
          <w:sz w:val="24"/>
          <w:szCs w:val="24"/>
          <w:lang w:val="sq-AL"/>
        </w:rPr>
        <w:t xml:space="preserve">, me përjashtim të </w:t>
      </w:r>
      <w:r w:rsidR="000C0959" w:rsidRPr="00991BFE">
        <w:rPr>
          <w:rFonts w:ascii="Times New Roman" w:hAnsi="Times New Roman" w:cs="Times New Roman"/>
          <w:sz w:val="24"/>
          <w:szCs w:val="24"/>
          <w:lang w:val="sq-AL"/>
        </w:rPr>
        <w:t>pasurive t</w:t>
      </w:r>
      <w:r w:rsidR="00225608" w:rsidRPr="00991BFE">
        <w:rPr>
          <w:rFonts w:ascii="Times New Roman" w:hAnsi="Times New Roman" w:cs="Times New Roman"/>
          <w:sz w:val="24"/>
          <w:szCs w:val="24"/>
          <w:lang w:val="sq-AL"/>
        </w:rPr>
        <w:t>ë</w:t>
      </w:r>
      <w:r w:rsidR="000C0959" w:rsidRPr="00991BFE">
        <w:rPr>
          <w:rFonts w:ascii="Times New Roman" w:hAnsi="Times New Roman" w:cs="Times New Roman"/>
          <w:sz w:val="24"/>
          <w:szCs w:val="24"/>
          <w:lang w:val="sq-AL"/>
        </w:rPr>
        <w:t xml:space="preserve"> paluajtshme </w:t>
      </w:r>
      <w:r w:rsidR="00766A63" w:rsidRPr="00991BFE">
        <w:rPr>
          <w:rFonts w:ascii="Times New Roman" w:hAnsi="Times New Roman" w:cs="Times New Roman"/>
          <w:sz w:val="24"/>
          <w:szCs w:val="24"/>
          <w:lang w:val="sq-AL"/>
        </w:rPr>
        <w:t>të cilat përjashtohen nga taksa</w:t>
      </w:r>
      <w:r w:rsidR="000C0959" w:rsidRPr="00991BFE">
        <w:rPr>
          <w:rFonts w:ascii="Times New Roman" w:hAnsi="Times New Roman" w:cs="Times New Roman"/>
          <w:sz w:val="24"/>
          <w:szCs w:val="24"/>
          <w:lang w:val="sq-AL"/>
        </w:rPr>
        <w:t xml:space="preserve"> </w:t>
      </w:r>
      <w:r w:rsidR="00C0114C" w:rsidRPr="00991BFE">
        <w:rPr>
          <w:rFonts w:ascii="Times New Roman" w:hAnsi="Times New Roman" w:cs="Times New Roman"/>
          <w:sz w:val="24"/>
          <w:szCs w:val="24"/>
          <w:lang w:val="sq-AL"/>
        </w:rPr>
        <w:t>mbi</w:t>
      </w:r>
      <w:r w:rsidR="000C0959" w:rsidRPr="00991BFE">
        <w:rPr>
          <w:rFonts w:ascii="Times New Roman" w:hAnsi="Times New Roman" w:cs="Times New Roman"/>
          <w:sz w:val="24"/>
          <w:szCs w:val="24"/>
          <w:lang w:val="sq-AL"/>
        </w:rPr>
        <w:t xml:space="preserve"> pasuri</w:t>
      </w:r>
      <w:r w:rsidR="00C0114C" w:rsidRPr="00991BFE">
        <w:rPr>
          <w:rFonts w:ascii="Times New Roman" w:hAnsi="Times New Roman" w:cs="Times New Roman"/>
          <w:sz w:val="24"/>
          <w:szCs w:val="24"/>
          <w:lang w:val="sq-AL"/>
        </w:rPr>
        <w:t>n</w:t>
      </w:r>
      <w:r w:rsidR="00225608" w:rsidRPr="00991BFE">
        <w:rPr>
          <w:rFonts w:ascii="Times New Roman" w:hAnsi="Times New Roman" w:cs="Times New Roman"/>
          <w:sz w:val="24"/>
          <w:szCs w:val="24"/>
          <w:lang w:val="sq-AL"/>
        </w:rPr>
        <w:t>ë</w:t>
      </w:r>
      <w:r w:rsidR="00C0114C" w:rsidRPr="00991BFE">
        <w:rPr>
          <w:rFonts w:ascii="Times New Roman" w:hAnsi="Times New Roman" w:cs="Times New Roman"/>
          <w:sz w:val="24"/>
          <w:szCs w:val="24"/>
          <w:lang w:val="sq-AL"/>
        </w:rPr>
        <w:t xml:space="preserve"> e paluajtshme</w:t>
      </w:r>
      <w:r w:rsidR="000C0959" w:rsidRPr="00991BFE">
        <w:rPr>
          <w:rFonts w:ascii="Times New Roman" w:hAnsi="Times New Roman" w:cs="Times New Roman"/>
          <w:sz w:val="24"/>
          <w:szCs w:val="24"/>
          <w:lang w:val="sq-AL"/>
        </w:rPr>
        <w:t>, në përputhje me nenin 10</w:t>
      </w:r>
      <w:r w:rsidR="00766A63" w:rsidRPr="00991BFE">
        <w:rPr>
          <w:rFonts w:ascii="Times New Roman" w:hAnsi="Times New Roman" w:cs="Times New Roman"/>
          <w:sz w:val="24"/>
          <w:szCs w:val="24"/>
          <w:lang w:val="sq-AL"/>
        </w:rPr>
        <w:t xml:space="preserve"> të projektligjit.</w:t>
      </w:r>
    </w:p>
    <w:p w14:paraId="79D85189" w14:textId="57091E2D" w:rsidR="00766A63" w:rsidRPr="00991BFE" w:rsidRDefault="004251F2" w:rsidP="005F19B7">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7</w:t>
      </w:r>
      <w:r w:rsidR="00766A63" w:rsidRPr="00991BFE">
        <w:rPr>
          <w:rFonts w:ascii="Times New Roman" w:hAnsi="Times New Roman" w:cs="Times New Roman"/>
          <w:sz w:val="24"/>
          <w:szCs w:val="24"/>
          <w:lang w:val="sq-AL"/>
        </w:rPr>
        <w:t>,</w:t>
      </w:r>
      <w:r w:rsidR="00766A63" w:rsidRPr="00991BFE">
        <w:rPr>
          <w:rFonts w:ascii="Times New Roman" w:hAnsi="Times New Roman" w:cs="Times New Roman"/>
          <w:b/>
          <w:sz w:val="24"/>
          <w:szCs w:val="24"/>
          <w:lang w:val="sq-AL"/>
        </w:rPr>
        <w:t xml:space="preserve"> </w:t>
      </w:r>
      <w:r w:rsidR="006868A5"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6868A5" w:rsidRPr="00991BFE">
        <w:rPr>
          <w:rFonts w:ascii="Times New Roman" w:hAnsi="Times New Roman" w:cs="Times New Roman"/>
          <w:sz w:val="24"/>
          <w:szCs w:val="24"/>
          <w:lang w:val="sq-AL"/>
        </w:rPr>
        <w:t xml:space="preserve">rcakton </w:t>
      </w:r>
      <w:r w:rsidR="00766A63" w:rsidRPr="00991BFE">
        <w:rPr>
          <w:rFonts w:ascii="Times New Roman" w:hAnsi="Times New Roman" w:cs="Times New Roman"/>
          <w:sz w:val="24"/>
          <w:szCs w:val="24"/>
          <w:lang w:val="sq-AL"/>
        </w:rPr>
        <w:t xml:space="preserve"> se baza e </w:t>
      </w:r>
      <w:r w:rsidR="007419A2" w:rsidRPr="00991BFE">
        <w:rPr>
          <w:rFonts w:ascii="Times New Roman" w:hAnsi="Times New Roman" w:cs="Times New Roman"/>
          <w:sz w:val="24"/>
          <w:szCs w:val="24"/>
          <w:lang w:val="sq-AL"/>
        </w:rPr>
        <w:t>taksës</w:t>
      </w:r>
      <w:r w:rsidR="00766A63" w:rsidRPr="00991BFE">
        <w:rPr>
          <w:rFonts w:ascii="Times New Roman" w:hAnsi="Times New Roman" w:cs="Times New Roman"/>
          <w:sz w:val="24"/>
          <w:szCs w:val="24"/>
          <w:lang w:val="sq-AL"/>
        </w:rPr>
        <w:t xml:space="preserve"> </w:t>
      </w:r>
      <w:r w:rsidR="007419A2" w:rsidRPr="00991BFE">
        <w:rPr>
          <w:rFonts w:ascii="Times New Roman" w:hAnsi="Times New Roman" w:cs="Times New Roman"/>
          <w:sz w:val="24"/>
          <w:szCs w:val="24"/>
          <w:lang w:val="sq-AL"/>
        </w:rPr>
        <w:t>së</w:t>
      </w:r>
      <w:r w:rsidR="00766A63"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 xml:space="preserve">pasurisë </w:t>
      </w:r>
      <w:r w:rsidR="00766A63" w:rsidRPr="00991BFE">
        <w:rPr>
          <w:rFonts w:ascii="Times New Roman" w:hAnsi="Times New Roman" w:cs="Times New Roman"/>
          <w:sz w:val="24"/>
          <w:szCs w:val="24"/>
          <w:lang w:val="sq-AL"/>
        </w:rPr>
        <w:t>është vlera e taksueshme e</w:t>
      </w:r>
      <w:r w:rsidR="00D4354A" w:rsidRPr="00991BFE">
        <w:rPr>
          <w:rFonts w:ascii="Times New Roman" w:hAnsi="Times New Roman" w:cs="Times New Roman"/>
          <w:sz w:val="24"/>
          <w:szCs w:val="24"/>
          <w:lang w:val="sq-AL"/>
        </w:rPr>
        <w:t xml:space="preserve"> pasuris</w:t>
      </w:r>
      <w:r w:rsidR="00225608" w:rsidRPr="00991BFE">
        <w:rPr>
          <w:rFonts w:ascii="Times New Roman" w:hAnsi="Times New Roman" w:cs="Times New Roman"/>
          <w:sz w:val="24"/>
          <w:szCs w:val="24"/>
          <w:lang w:val="sq-AL"/>
        </w:rPr>
        <w:t>ë</w:t>
      </w:r>
      <w:r w:rsidR="00D4354A" w:rsidRPr="00991BFE">
        <w:rPr>
          <w:rFonts w:ascii="Times New Roman" w:hAnsi="Times New Roman" w:cs="Times New Roman"/>
          <w:sz w:val="24"/>
          <w:szCs w:val="24"/>
          <w:lang w:val="sq-AL"/>
        </w:rPr>
        <w:t xml:space="preserve"> s</w:t>
      </w:r>
      <w:r w:rsidR="00225608" w:rsidRPr="00991BFE">
        <w:rPr>
          <w:rFonts w:ascii="Times New Roman" w:hAnsi="Times New Roman" w:cs="Times New Roman"/>
          <w:sz w:val="24"/>
          <w:szCs w:val="24"/>
          <w:lang w:val="sq-AL"/>
        </w:rPr>
        <w:t>ë</w:t>
      </w:r>
      <w:r w:rsidR="00D4354A" w:rsidRPr="00991BFE">
        <w:rPr>
          <w:rFonts w:ascii="Times New Roman" w:hAnsi="Times New Roman" w:cs="Times New Roman"/>
          <w:sz w:val="24"/>
          <w:szCs w:val="24"/>
          <w:lang w:val="sq-AL"/>
        </w:rPr>
        <w:t xml:space="preserve"> paluajtshme</w:t>
      </w:r>
      <w:r w:rsidR="00766A63" w:rsidRPr="00991BFE">
        <w:rPr>
          <w:rFonts w:ascii="Times New Roman" w:hAnsi="Times New Roman" w:cs="Times New Roman"/>
          <w:sz w:val="24"/>
          <w:szCs w:val="24"/>
          <w:lang w:val="sq-AL"/>
        </w:rPr>
        <w:t xml:space="preserve">, e cila sipas parashikimeve </w:t>
      </w:r>
      <w:r w:rsidR="007419A2" w:rsidRPr="00991BFE">
        <w:rPr>
          <w:rFonts w:ascii="Times New Roman" w:hAnsi="Times New Roman" w:cs="Times New Roman"/>
          <w:sz w:val="24"/>
          <w:szCs w:val="24"/>
          <w:lang w:val="sq-AL"/>
        </w:rPr>
        <w:t>të</w:t>
      </w:r>
      <w:r w:rsidR="00766A63" w:rsidRPr="00991BFE">
        <w:rPr>
          <w:rFonts w:ascii="Times New Roman" w:hAnsi="Times New Roman" w:cs="Times New Roman"/>
          <w:sz w:val="24"/>
          <w:szCs w:val="24"/>
          <w:lang w:val="sq-AL"/>
        </w:rPr>
        <w:t xml:space="preserve"> reja ligjore do të </w:t>
      </w:r>
      <w:r w:rsidR="007419A2" w:rsidRPr="00991BFE">
        <w:rPr>
          <w:rFonts w:ascii="Times New Roman" w:hAnsi="Times New Roman" w:cs="Times New Roman"/>
          <w:sz w:val="24"/>
          <w:szCs w:val="24"/>
          <w:lang w:val="sq-AL"/>
        </w:rPr>
        <w:t>jetë</w:t>
      </w:r>
      <w:r w:rsidR="00766A63" w:rsidRPr="00991BFE">
        <w:rPr>
          <w:rFonts w:ascii="Times New Roman" w:hAnsi="Times New Roman" w:cs="Times New Roman"/>
          <w:sz w:val="24"/>
          <w:szCs w:val="24"/>
          <w:lang w:val="sq-AL"/>
        </w:rPr>
        <w:t xml:space="preserve"> vlera e vlerësuar e tregut e</w:t>
      </w:r>
      <w:r w:rsidR="00156E9B" w:rsidRPr="00991BFE">
        <w:rPr>
          <w:rFonts w:ascii="Times New Roman" w:hAnsi="Times New Roman" w:cs="Times New Roman"/>
          <w:sz w:val="24"/>
          <w:szCs w:val="24"/>
          <w:lang w:val="sq-AL"/>
        </w:rPr>
        <w:t xml:space="preserve"> </w:t>
      </w:r>
      <w:r w:rsidR="00D4354A" w:rsidRPr="00991BFE">
        <w:rPr>
          <w:rFonts w:ascii="Times New Roman" w:hAnsi="Times New Roman" w:cs="Times New Roman"/>
          <w:sz w:val="24"/>
          <w:szCs w:val="24"/>
          <w:lang w:val="sq-AL"/>
        </w:rPr>
        <w:t>pasuris</w:t>
      </w:r>
      <w:r w:rsidR="00225608" w:rsidRPr="00991BFE">
        <w:rPr>
          <w:rFonts w:ascii="Times New Roman" w:hAnsi="Times New Roman" w:cs="Times New Roman"/>
          <w:sz w:val="24"/>
          <w:szCs w:val="24"/>
          <w:lang w:val="sq-AL"/>
        </w:rPr>
        <w:t>ë</w:t>
      </w:r>
      <w:r w:rsidR="00041D86" w:rsidRPr="00991BFE">
        <w:rPr>
          <w:rFonts w:ascii="Times New Roman" w:hAnsi="Times New Roman" w:cs="Times New Roman"/>
          <w:sz w:val="24"/>
          <w:szCs w:val="24"/>
          <w:lang w:val="sq-AL"/>
        </w:rPr>
        <w:t xml:space="preserve"> (</w:t>
      </w:r>
      <w:r w:rsidR="00041D86" w:rsidRPr="00991BFE">
        <w:rPr>
          <w:rFonts w:ascii="Times New Roman" w:hAnsi="Times New Roman" w:cs="Times New Roman"/>
          <w:i/>
          <w:sz w:val="24"/>
          <w:szCs w:val="24"/>
          <w:lang w:val="sq-AL"/>
        </w:rPr>
        <w:t xml:space="preserve">vlera e përafërt me vlerën e tregut të pasurisë së paluajtshme </w:t>
      </w:r>
      <w:r w:rsidR="00D4267E" w:rsidRPr="00991BFE">
        <w:rPr>
          <w:rFonts w:ascii="Times New Roman" w:hAnsi="Times New Roman" w:cs="Times New Roman"/>
          <w:i/>
          <w:sz w:val="24"/>
          <w:szCs w:val="24"/>
          <w:lang w:val="sq-AL"/>
        </w:rPr>
        <w:t>që</w:t>
      </w:r>
      <w:r w:rsidR="00041D86" w:rsidRPr="00991BFE">
        <w:rPr>
          <w:rFonts w:ascii="Times New Roman" w:hAnsi="Times New Roman" w:cs="Times New Roman"/>
          <w:i/>
          <w:sz w:val="24"/>
          <w:szCs w:val="24"/>
          <w:lang w:val="sq-AL"/>
        </w:rPr>
        <w:t xml:space="preserve"> do përcaktohet në përputhje me metodologjinë </w:t>
      </w:r>
      <w:r w:rsidR="0055447E" w:rsidRPr="00991BFE">
        <w:rPr>
          <w:rFonts w:ascii="Times New Roman" w:hAnsi="Times New Roman" w:cs="Times New Roman"/>
          <w:i/>
          <w:sz w:val="24"/>
          <w:szCs w:val="24"/>
          <w:lang w:val="sq-AL"/>
        </w:rPr>
        <w:t xml:space="preserve">e parashikuar në pikën </w:t>
      </w:r>
      <w:r w:rsidR="0087257A">
        <w:rPr>
          <w:rFonts w:ascii="Times New Roman" w:hAnsi="Times New Roman" w:cs="Times New Roman"/>
          <w:i/>
          <w:sz w:val="24"/>
          <w:szCs w:val="24"/>
          <w:lang w:val="sq-AL"/>
        </w:rPr>
        <w:t>4</w:t>
      </w:r>
      <w:r w:rsidR="0055447E" w:rsidRPr="00991BFE">
        <w:rPr>
          <w:rFonts w:ascii="Times New Roman" w:hAnsi="Times New Roman" w:cs="Times New Roman"/>
          <w:i/>
          <w:sz w:val="24"/>
          <w:szCs w:val="24"/>
          <w:lang w:val="sq-AL"/>
        </w:rPr>
        <w:t>, të nenit 1</w:t>
      </w:r>
      <w:r w:rsidR="0087257A">
        <w:rPr>
          <w:rFonts w:ascii="Times New Roman" w:hAnsi="Times New Roman" w:cs="Times New Roman"/>
          <w:i/>
          <w:sz w:val="24"/>
          <w:szCs w:val="24"/>
          <w:lang w:val="sq-AL"/>
        </w:rPr>
        <w:t>7</w:t>
      </w:r>
      <w:r w:rsidR="0055447E" w:rsidRPr="00991BFE">
        <w:rPr>
          <w:rFonts w:ascii="Times New Roman" w:hAnsi="Times New Roman" w:cs="Times New Roman"/>
          <w:i/>
          <w:sz w:val="24"/>
          <w:szCs w:val="24"/>
          <w:lang w:val="sq-AL"/>
        </w:rPr>
        <w:t>, të projektligjit</w:t>
      </w:r>
      <w:r w:rsidR="00041D86" w:rsidRPr="00991BFE">
        <w:rPr>
          <w:rFonts w:ascii="Times New Roman" w:hAnsi="Times New Roman" w:cs="Times New Roman"/>
          <w:i/>
          <w:sz w:val="24"/>
          <w:szCs w:val="24"/>
          <w:lang w:val="sq-AL"/>
        </w:rPr>
        <w:t>)</w:t>
      </w:r>
      <w:r w:rsidR="00D4354A" w:rsidRPr="00991BFE">
        <w:rPr>
          <w:rFonts w:ascii="Times New Roman" w:hAnsi="Times New Roman" w:cs="Times New Roman"/>
          <w:sz w:val="24"/>
          <w:szCs w:val="24"/>
          <w:lang w:val="sq-AL"/>
        </w:rPr>
        <w:t xml:space="preserve"> </w:t>
      </w:r>
      <w:r w:rsidR="00766A63" w:rsidRPr="00991BFE">
        <w:rPr>
          <w:rFonts w:ascii="Times New Roman" w:hAnsi="Times New Roman" w:cs="Times New Roman"/>
          <w:sz w:val="24"/>
          <w:szCs w:val="24"/>
          <w:lang w:val="sq-AL"/>
        </w:rPr>
        <w:t>ose vlera e saj pas një zbritje të mundshme nga vlera e saj e vlerësuar,</w:t>
      </w:r>
      <w:r w:rsidR="00D4354A" w:rsidRPr="00991BFE">
        <w:rPr>
          <w:rFonts w:ascii="Times New Roman" w:hAnsi="Times New Roman" w:cs="Times New Roman"/>
          <w:sz w:val="24"/>
          <w:szCs w:val="24"/>
          <w:lang w:val="sq-AL"/>
        </w:rPr>
        <w:t xml:space="preserve"> p</w:t>
      </w:r>
      <w:r w:rsidR="00225608" w:rsidRPr="00991BFE">
        <w:rPr>
          <w:rFonts w:ascii="Times New Roman" w:hAnsi="Times New Roman" w:cs="Times New Roman"/>
          <w:sz w:val="24"/>
          <w:szCs w:val="24"/>
          <w:lang w:val="sq-AL"/>
        </w:rPr>
        <w:t>ë</w:t>
      </w:r>
      <w:r w:rsidR="00D4354A" w:rsidRPr="00991BFE">
        <w:rPr>
          <w:rFonts w:ascii="Times New Roman" w:hAnsi="Times New Roman" w:cs="Times New Roman"/>
          <w:sz w:val="24"/>
          <w:szCs w:val="24"/>
          <w:lang w:val="sq-AL"/>
        </w:rPr>
        <w:t>r rastet e parashikuara n</w:t>
      </w:r>
      <w:r w:rsidR="00225608" w:rsidRPr="00991BFE">
        <w:rPr>
          <w:rFonts w:ascii="Times New Roman" w:hAnsi="Times New Roman" w:cs="Times New Roman"/>
          <w:sz w:val="24"/>
          <w:szCs w:val="24"/>
          <w:lang w:val="sq-AL"/>
        </w:rPr>
        <w:t>ë</w:t>
      </w:r>
      <w:r w:rsidR="00D4354A" w:rsidRPr="00991BFE">
        <w:rPr>
          <w:rFonts w:ascii="Times New Roman" w:hAnsi="Times New Roman" w:cs="Times New Roman"/>
          <w:sz w:val="24"/>
          <w:szCs w:val="24"/>
          <w:lang w:val="sq-AL"/>
        </w:rPr>
        <w:t xml:space="preserve"> </w:t>
      </w:r>
      <w:r w:rsidR="00B029A5" w:rsidRPr="00991BFE">
        <w:rPr>
          <w:rFonts w:ascii="Times New Roman" w:hAnsi="Times New Roman" w:cs="Times New Roman"/>
          <w:sz w:val="24"/>
          <w:szCs w:val="24"/>
          <w:lang w:val="sq-AL"/>
        </w:rPr>
        <w:t>projekt</w:t>
      </w:r>
      <w:r w:rsidR="00D4354A" w:rsidRPr="00991BFE">
        <w:rPr>
          <w:rFonts w:ascii="Times New Roman" w:hAnsi="Times New Roman" w:cs="Times New Roman"/>
          <w:sz w:val="24"/>
          <w:szCs w:val="24"/>
          <w:lang w:val="sq-AL"/>
        </w:rPr>
        <w:t xml:space="preserve">ligj. </w:t>
      </w:r>
    </w:p>
    <w:p w14:paraId="589DE36D" w14:textId="77777777" w:rsidR="0076799E" w:rsidRPr="00991BFE" w:rsidRDefault="006868A5" w:rsidP="007C0F2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Gjithashtu, ky n</w:t>
      </w:r>
      <w:r w:rsidR="00100BA4" w:rsidRPr="00991BFE">
        <w:rPr>
          <w:rFonts w:ascii="Times New Roman" w:hAnsi="Times New Roman" w:cs="Times New Roman"/>
          <w:sz w:val="24"/>
          <w:szCs w:val="24"/>
          <w:lang w:val="sq-AL"/>
        </w:rPr>
        <w:t>en</w:t>
      </w:r>
      <w:r w:rsidR="006B2016" w:rsidRPr="00991BFE">
        <w:rPr>
          <w:rFonts w:ascii="Times New Roman" w:hAnsi="Times New Roman" w:cs="Times New Roman"/>
          <w:sz w:val="24"/>
          <w:szCs w:val="24"/>
          <w:lang w:val="sq-AL"/>
        </w:rPr>
        <w:t xml:space="preserve"> </w:t>
      </w:r>
      <w:r w:rsidR="00767A50" w:rsidRPr="00991BFE">
        <w:rPr>
          <w:rFonts w:ascii="Times New Roman" w:hAnsi="Times New Roman" w:cs="Times New Roman"/>
          <w:sz w:val="24"/>
          <w:szCs w:val="24"/>
          <w:lang w:val="sq-AL"/>
        </w:rPr>
        <w:t>përcakton</w:t>
      </w:r>
      <w:r w:rsidR="0076799E" w:rsidRPr="00991BFE">
        <w:rPr>
          <w:rFonts w:ascii="Times New Roman" w:hAnsi="Times New Roman" w:cs="Times New Roman"/>
          <w:sz w:val="24"/>
          <w:szCs w:val="24"/>
          <w:lang w:val="sq-AL"/>
        </w:rPr>
        <w:t>:</w:t>
      </w:r>
    </w:p>
    <w:p w14:paraId="39A8F3B9" w14:textId="2EBEBBC1" w:rsidR="0076799E" w:rsidRPr="00991BFE" w:rsidRDefault="00307611" w:rsidP="0076799E">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datën 30 n</w:t>
      </w:r>
      <w:r w:rsidR="006B2016" w:rsidRPr="00991BFE">
        <w:rPr>
          <w:rFonts w:ascii="Times New Roman" w:hAnsi="Times New Roman" w:cs="Times New Roman"/>
          <w:sz w:val="24"/>
          <w:szCs w:val="24"/>
          <w:lang w:val="sq-AL"/>
        </w:rPr>
        <w:t>ëntor</w:t>
      </w:r>
      <w:r w:rsidR="00334927" w:rsidRPr="00991BFE">
        <w:rPr>
          <w:rFonts w:ascii="Times New Roman" w:hAnsi="Times New Roman" w:cs="Times New Roman"/>
          <w:sz w:val="24"/>
          <w:szCs w:val="24"/>
          <w:lang w:val="sq-AL"/>
        </w:rPr>
        <w:t>,</w:t>
      </w:r>
      <w:r w:rsidR="00403397" w:rsidRPr="00991BFE">
        <w:rPr>
          <w:rFonts w:ascii="Times New Roman" w:hAnsi="Times New Roman" w:cs="Times New Roman"/>
          <w:sz w:val="24"/>
          <w:szCs w:val="24"/>
          <w:lang w:val="sq-AL"/>
        </w:rPr>
        <w:t xml:space="preserve"> </w:t>
      </w:r>
      <w:r w:rsidR="006B2016" w:rsidRPr="00991BFE">
        <w:rPr>
          <w:rFonts w:ascii="Times New Roman" w:hAnsi="Times New Roman" w:cs="Times New Roman"/>
          <w:sz w:val="24"/>
          <w:szCs w:val="24"/>
          <w:lang w:val="sq-AL"/>
        </w:rPr>
        <w:t>të</w:t>
      </w:r>
      <w:r w:rsidR="0076799E" w:rsidRPr="00991BFE">
        <w:rPr>
          <w:rFonts w:ascii="Times New Roman" w:hAnsi="Times New Roman" w:cs="Times New Roman"/>
          <w:sz w:val="24"/>
          <w:szCs w:val="24"/>
          <w:lang w:val="sq-AL"/>
        </w:rPr>
        <w:t xml:space="preserve"> vitit para vitit tatimor, si dat</w:t>
      </w:r>
      <w:r w:rsidR="00BD351D" w:rsidRPr="00991BFE">
        <w:rPr>
          <w:rFonts w:ascii="Times New Roman" w:hAnsi="Times New Roman" w:cs="Times New Roman"/>
          <w:sz w:val="24"/>
          <w:szCs w:val="24"/>
          <w:lang w:val="sq-AL"/>
        </w:rPr>
        <w:t>ë</w:t>
      </w:r>
      <w:r w:rsidR="0076799E" w:rsidRPr="00991BFE">
        <w:rPr>
          <w:rFonts w:ascii="Times New Roman" w:hAnsi="Times New Roman" w:cs="Times New Roman"/>
          <w:sz w:val="24"/>
          <w:szCs w:val="24"/>
          <w:lang w:val="sq-AL"/>
        </w:rPr>
        <w:t xml:space="preserve"> n</w:t>
      </w:r>
      <w:r w:rsidR="00BD351D" w:rsidRPr="00991BFE">
        <w:rPr>
          <w:rFonts w:ascii="Times New Roman" w:hAnsi="Times New Roman" w:cs="Times New Roman"/>
          <w:sz w:val="24"/>
          <w:szCs w:val="24"/>
          <w:lang w:val="sq-AL"/>
        </w:rPr>
        <w:t>ë</w:t>
      </w:r>
      <w:r w:rsidR="0076799E" w:rsidRPr="00991BFE">
        <w:rPr>
          <w:rFonts w:ascii="Times New Roman" w:hAnsi="Times New Roman" w:cs="Times New Roman"/>
          <w:sz w:val="24"/>
          <w:szCs w:val="24"/>
          <w:lang w:val="sq-AL"/>
        </w:rPr>
        <w:t xml:space="preserve"> t</w:t>
      </w:r>
      <w:r w:rsidR="00BD351D" w:rsidRPr="00991BFE">
        <w:rPr>
          <w:rFonts w:ascii="Times New Roman" w:hAnsi="Times New Roman" w:cs="Times New Roman"/>
          <w:sz w:val="24"/>
          <w:szCs w:val="24"/>
          <w:lang w:val="sq-AL"/>
        </w:rPr>
        <w:t>ë</w:t>
      </w:r>
      <w:r w:rsidR="0076799E" w:rsidRPr="00991BFE">
        <w:rPr>
          <w:rFonts w:ascii="Times New Roman" w:hAnsi="Times New Roman" w:cs="Times New Roman"/>
          <w:sz w:val="24"/>
          <w:szCs w:val="24"/>
          <w:lang w:val="sq-AL"/>
        </w:rPr>
        <w:t xml:space="preserve"> cil</w:t>
      </w:r>
      <w:r w:rsidR="00BD351D" w:rsidRPr="00991BFE">
        <w:rPr>
          <w:rFonts w:ascii="Times New Roman" w:hAnsi="Times New Roman" w:cs="Times New Roman"/>
          <w:sz w:val="24"/>
          <w:szCs w:val="24"/>
          <w:lang w:val="sq-AL"/>
        </w:rPr>
        <w:t>ë</w:t>
      </w:r>
      <w:r w:rsidR="0076799E" w:rsidRPr="00991BFE">
        <w:rPr>
          <w:rFonts w:ascii="Times New Roman" w:hAnsi="Times New Roman" w:cs="Times New Roman"/>
          <w:sz w:val="24"/>
          <w:szCs w:val="24"/>
          <w:lang w:val="sq-AL"/>
        </w:rPr>
        <w:t>n Bashkia p</w:t>
      </w:r>
      <w:r w:rsidR="00BD351D" w:rsidRPr="00991BFE">
        <w:rPr>
          <w:rFonts w:ascii="Times New Roman" w:hAnsi="Times New Roman" w:cs="Times New Roman"/>
          <w:sz w:val="24"/>
          <w:szCs w:val="24"/>
          <w:lang w:val="sq-AL"/>
        </w:rPr>
        <w:t>ë</w:t>
      </w:r>
      <w:r w:rsidR="0076799E" w:rsidRPr="00991BFE">
        <w:rPr>
          <w:rFonts w:ascii="Times New Roman" w:hAnsi="Times New Roman" w:cs="Times New Roman"/>
          <w:sz w:val="24"/>
          <w:szCs w:val="24"/>
          <w:lang w:val="sq-AL"/>
        </w:rPr>
        <w:t>rcakton vlerën e vlerësuar të pasurisë së paluajtshme.</w:t>
      </w:r>
    </w:p>
    <w:p w14:paraId="1C7955FC" w14:textId="1564AC1B" w:rsidR="0076799E" w:rsidRPr="00991BFE" w:rsidRDefault="0076799E" w:rsidP="0076799E">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dat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 31 dhjetor të vitit para vitit tatimor, si dat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cil</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 Bashkia p</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rcakton vlerën e taksueshme të çdo pasurie të paluajtshme që i nënshtrohet taksimit në territorin e saj</w:t>
      </w:r>
      <w:r w:rsidR="0087257A">
        <w:rPr>
          <w:rFonts w:ascii="Times New Roman" w:hAnsi="Times New Roman" w:cs="Times New Roman"/>
          <w:sz w:val="24"/>
          <w:szCs w:val="24"/>
          <w:lang w:val="sq-AL"/>
        </w:rPr>
        <w:t>.</w:t>
      </w:r>
    </w:p>
    <w:p w14:paraId="3AAAAD43" w14:textId="13692F1C" w:rsidR="004B0A5D" w:rsidRPr="00991BFE" w:rsidRDefault="00FF7833" w:rsidP="007C0F2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8</w:t>
      </w:r>
      <w:r w:rsidR="00C75133" w:rsidRPr="00991BFE">
        <w:rPr>
          <w:rFonts w:ascii="Times New Roman" w:hAnsi="Times New Roman" w:cs="Times New Roman"/>
          <w:b/>
          <w:sz w:val="24"/>
          <w:szCs w:val="24"/>
          <w:lang w:val="sq-AL"/>
        </w:rPr>
        <w:t>,</w:t>
      </w:r>
      <w:r w:rsidR="009E3E55" w:rsidRPr="00991BFE">
        <w:rPr>
          <w:rFonts w:ascii="Times New Roman" w:hAnsi="Times New Roman" w:cs="Times New Roman"/>
          <w:sz w:val="24"/>
          <w:szCs w:val="24"/>
          <w:lang w:val="sq-AL"/>
        </w:rPr>
        <w:t xml:space="preserve"> </w:t>
      </w:r>
      <w:r w:rsidR="006D455D"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6D455D" w:rsidRPr="00991BFE">
        <w:rPr>
          <w:rFonts w:ascii="Times New Roman" w:hAnsi="Times New Roman" w:cs="Times New Roman"/>
          <w:sz w:val="24"/>
          <w:szCs w:val="24"/>
          <w:lang w:val="sq-AL"/>
        </w:rPr>
        <w:t xml:space="preserve">rcakton </w:t>
      </w:r>
      <w:r w:rsidR="009E3E55" w:rsidRPr="00991BFE">
        <w:rPr>
          <w:rFonts w:ascii="Times New Roman" w:hAnsi="Times New Roman" w:cs="Times New Roman"/>
          <w:sz w:val="24"/>
          <w:szCs w:val="24"/>
          <w:lang w:val="sq-AL"/>
        </w:rPr>
        <w:t>n</w:t>
      </w:r>
      <w:r w:rsidR="00F445B5" w:rsidRPr="00991BFE">
        <w:rPr>
          <w:rFonts w:ascii="Times New Roman" w:hAnsi="Times New Roman" w:cs="Times New Roman"/>
          <w:sz w:val="24"/>
          <w:szCs w:val="24"/>
          <w:lang w:val="sq-AL"/>
        </w:rPr>
        <w:t>jë zbritje nga vlera</w:t>
      </w:r>
      <w:r w:rsidR="009E3E55" w:rsidRPr="00991BFE">
        <w:rPr>
          <w:rFonts w:ascii="Times New Roman" w:hAnsi="Times New Roman" w:cs="Times New Roman"/>
          <w:sz w:val="24"/>
          <w:szCs w:val="24"/>
          <w:lang w:val="sq-AL"/>
        </w:rPr>
        <w:t xml:space="preserve"> </w:t>
      </w:r>
      <w:r w:rsidR="00F445B5" w:rsidRPr="00991BFE">
        <w:rPr>
          <w:rFonts w:ascii="Times New Roman" w:hAnsi="Times New Roman" w:cs="Times New Roman"/>
          <w:sz w:val="24"/>
          <w:szCs w:val="24"/>
          <w:lang w:val="sq-AL"/>
        </w:rPr>
        <w:t xml:space="preserve">e </w:t>
      </w:r>
      <w:r w:rsidR="009E3E55" w:rsidRPr="00991BFE">
        <w:rPr>
          <w:rFonts w:ascii="Times New Roman" w:hAnsi="Times New Roman" w:cs="Times New Roman"/>
          <w:sz w:val="24"/>
          <w:szCs w:val="24"/>
          <w:lang w:val="sq-AL"/>
        </w:rPr>
        <w:t xml:space="preserve">banesës së parë të të gjithë individëve, në një shumë të barabartë me 50% </w:t>
      </w:r>
      <w:r w:rsidR="00EB6F75" w:rsidRPr="00991BFE">
        <w:rPr>
          <w:rFonts w:ascii="Times New Roman" w:hAnsi="Times New Roman" w:cs="Times New Roman"/>
          <w:i/>
          <w:sz w:val="24"/>
          <w:szCs w:val="24"/>
          <w:lang w:val="sq-AL"/>
        </w:rPr>
        <w:t>(</w:t>
      </w:r>
      <w:r w:rsidR="009E3E55" w:rsidRPr="00991BFE">
        <w:rPr>
          <w:rFonts w:ascii="Times New Roman" w:hAnsi="Times New Roman" w:cs="Times New Roman"/>
          <w:i/>
          <w:sz w:val="24"/>
          <w:szCs w:val="24"/>
          <w:lang w:val="sq-AL"/>
        </w:rPr>
        <w:t>pesëdhjetë përqind</w:t>
      </w:r>
      <w:r w:rsidR="00EB6F75" w:rsidRPr="00991BFE">
        <w:rPr>
          <w:rFonts w:ascii="Times New Roman" w:hAnsi="Times New Roman" w:cs="Times New Roman"/>
          <w:sz w:val="24"/>
          <w:szCs w:val="24"/>
          <w:lang w:val="sq-AL"/>
        </w:rPr>
        <w:t>)</w:t>
      </w:r>
      <w:r w:rsidR="009E3E55" w:rsidRPr="00991BFE">
        <w:rPr>
          <w:rFonts w:ascii="Times New Roman" w:hAnsi="Times New Roman" w:cs="Times New Roman"/>
          <w:sz w:val="24"/>
          <w:szCs w:val="24"/>
          <w:lang w:val="sq-AL"/>
        </w:rPr>
        <w:t xml:space="preserve"> të vlerës së banesës së parë, por në çdo r</w:t>
      </w:r>
      <w:r w:rsidR="00920876" w:rsidRPr="00991BFE">
        <w:rPr>
          <w:rFonts w:ascii="Times New Roman" w:hAnsi="Times New Roman" w:cs="Times New Roman"/>
          <w:sz w:val="24"/>
          <w:szCs w:val="24"/>
          <w:lang w:val="sq-AL"/>
        </w:rPr>
        <w:t>ast, jo më shumë se pragu maksimal i zbritjes i përcaktuar për</w:t>
      </w:r>
      <w:r w:rsidR="00207E5D" w:rsidRPr="00991BFE">
        <w:rPr>
          <w:rFonts w:ascii="Times New Roman" w:hAnsi="Times New Roman" w:cs="Times New Roman"/>
          <w:sz w:val="24"/>
          <w:szCs w:val="24"/>
          <w:lang w:val="sq-AL"/>
        </w:rPr>
        <w:t xml:space="preserve"> </w:t>
      </w:r>
      <w:r w:rsidR="00852263" w:rsidRPr="00991BFE">
        <w:rPr>
          <w:rFonts w:ascii="Times New Roman" w:hAnsi="Times New Roman" w:cs="Times New Roman"/>
          <w:sz w:val="24"/>
          <w:szCs w:val="24"/>
          <w:lang w:val="sq-AL"/>
        </w:rPr>
        <w:t>7</w:t>
      </w:r>
      <w:r w:rsidR="00207E5D" w:rsidRPr="00991BFE">
        <w:rPr>
          <w:rFonts w:ascii="Times New Roman" w:hAnsi="Times New Roman" w:cs="Times New Roman"/>
          <w:sz w:val="24"/>
          <w:szCs w:val="24"/>
          <w:lang w:val="sq-AL"/>
        </w:rPr>
        <w:t xml:space="preserve"> </w:t>
      </w:r>
      <w:r w:rsidR="00EB6F75" w:rsidRPr="00991BFE">
        <w:rPr>
          <w:rFonts w:ascii="Times New Roman" w:hAnsi="Times New Roman" w:cs="Times New Roman"/>
          <w:sz w:val="24"/>
          <w:szCs w:val="24"/>
          <w:lang w:val="sq-AL"/>
        </w:rPr>
        <w:t>(</w:t>
      </w:r>
      <w:r w:rsidR="00852263" w:rsidRPr="00991BFE">
        <w:rPr>
          <w:rFonts w:ascii="Times New Roman" w:hAnsi="Times New Roman" w:cs="Times New Roman"/>
          <w:i/>
          <w:sz w:val="24"/>
          <w:szCs w:val="24"/>
          <w:lang w:val="sq-AL"/>
        </w:rPr>
        <w:t>shtatë</w:t>
      </w:r>
      <w:r w:rsidR="00EB6F75" w:rsidRPr="00991BFE">
        <w:rPr>
          <w:rFonts w:ascii="Times New Roman" w:hAnsi="Times New Roman" w:cs="Times New Roman"/>
          <w:sz w:val="24"/>
          <w:szCs w:val="24"/>
          <w:lang w:val="sq-AL"/>
        </w:rPr>
        <w:t xml:space="preserve">) </w:t>
      </w:r>
      <w:r w:rsidR="00207E5D" w:rsidRPr="00991BFE">
        <w:rPr>
          <w:rFonts w:ascii="Times New Roman" w:hAnsi="Times New Roman" w:cs="Times New Roman"/>
          <w:sz w:val="24"/>
          <w:szCs w:val="24"/>
          <w:lang w:val="sq-AL"/>
        </w:rPr>
        <w:t>kategori</w:t>
      </w:r>
      <w:r w:rsidR="00920876" w:rsidRPr="00991BFE">
        <w:rPr>
          <w:rFonts w:ascii="Times New Roman" w:hAnsi="Times New Roman" w:cs="Times New Roman"/>
          <w:sz w:val="24"/>
          <w:szCs w:val="24"/>
          <w:lang w:val="sq-AL"/>
        </w:rPr>
        <w:t xml:space="preserve"> </w:t>
      </w:r>
      <w:r w:rsidR="002D0633" w:rsidRPr="00991BFE">
        <w:rPr>
          <w:rFonts w:ascii="Times New Roman" w:hAnsi="Times New Roman" w:cs="Times New Roman"/>
          <w:sz w:val="24"/>
          <w:szCs w:val="24"/>
          <w:lang w:val="sq-AL"/>
        </w:rPr>
        <w:t>të bashkive</w:t>
      </w:r>
      <w:r w:rsidR="00920876" w:rsidRPr="00991BFE">
        <w:rPr>
          <w:rFonts w:ascii="Times New Roman" w:hAnsi="Times New Roman" w:cs="Times New Roman"/>
          <w:sz w:val="24"/>
          <w:szCs w:val="24"/>
          <w:lang w:val="sq-AL"/>
        </w:rPr>
        <w:t xml:space="preserve"> në shtojcën 1 të </w:t>
      </w:r>
      <w:r w:rsidR="00B029A5" w:rsidRPr="00991BFE">
        <w:rPr>
          <w:rFonts w:ascii="Times New Roman" w:hAnsi="Times New Roman" w:cs="Times New Roman"/>
          <w:sz w:val="24"/>
          <w:szCs w:val="24"/>
          <w:lang w:val="sq-AL"/>
        </w:rPr>
        <w:t>projek</w:t>
      </w:r>
      <w:r w:rsidR="00A93EB6" w:rsidRPr="00991BFE">
        <w:rPr>
          <w:rFonts w:ascii="Times New Roman" w:hAnsi="Times New Roman" w:cs="Times New Roman"/>
          <w:sz w:val="24"/>
          <w:szCs w:val="24"/>
          <w:lang w:val="sq-AL"/>
        </w:rPr>
        <w:t>t</w:t>
      </w:r>
      <w:r w:rsidR="00920876" w:rsidRPr="00991BFE">
        <w:rPr>
          <w:rFonts w:ascii="Times New Roman" w:hAnsi="Times New Roman" w:cs="Times New Roman"/>
          <w:sz w:val="24"/>
          <w:szCs w:val="24"/>
          <w:lang w:val="sq-AL"/>
        </w:rPr>
        <w:t>ligjit (</w:t>
      </w:r>
      <w:r w:rsidR="00920876" w:rsidRPr="00991BFE">
        <w:rPr>
          <w:rFonts w:ascii="Times New Roman" w:hAnsi="Times New Roman" w:cs="Times New Roman"/>
          <w:i/>
          <w:sz w:val="24"/>
          <w:szCs w:val="24"/>
          <w:lang w:val="sq-AL"/>
        </w:rPr>
        <w:t xml:space="preserve">shih </w:t>
      </w:r>
      <w:r w:rsidR="006274E2" w:rsidRPr="00991BFE">
        <w:rPr>
          <w:rFonts w:ascii="Times New Roman" w:hAnsi="Times New Roman" w:cs="Times New Roman"/>
          <w:i/>
          <w:sz w:val="24"/>
          <w:szCs w:val="24"/>
          <w:lang w:val="sq-AL"/>
        </w:rPr>
        <w:t>tabelën</w:t>
      </w:r>
      <w:r w:rsidR="00920876" w:rsidRPr="00991BFE">
        <w:rPr>
          <w:rFonts w:ascii="Times New Roman" w:hAnsi="Times New Roman" w:cs="Times New Roman"/>
          <w:i/>
          <w:sz w:val="24"/>
          <w:szCs w:val="24"/>
          <w:lang w:val="sq-AL"/>
        </w:rPr>
        <w:t xml:space="preserve"> </w:t>
      </w:r>
      <w:r w:rsidR="006274E2" w:rsidRPr="00991BFE">
        <w:rPr>
          <w:rFonts w:ascii="Times New Roman" w:hAnsi="Times New Roman" w:cs="Times New Roman"/>
          <w:i/>
          <w:sz w:val="24"/>
          <w:szCs w:val="24"/>
          <w:lang w:val="sq-AL"/>
        </w:rPr>
        <w:t>më</w:t>
      </w:r>
      <w:r w:rsidR="00920876" w:rsidRPr="00991BFE">
        <w:rPr>
          <w:rFonts w:ascii="Times New Roman" w:hAnsi="Times New Roman" w:cs="Times New Roman"/>
          <w:i/>
          <w:sz w:val="24"/>
          <w:szCs w:val="24"/>
          <w:lang w:val="sq-AL"/>
        </w:rPr>
        <w:t xml:space="preserve"> </w:t>
      </w:r>
      <w:r w:rsidR="006274E2" w:rsidRPr="00991BFE">
        <w:rPr>
          <w:rFonts w:ascii="Times New Roman" w:hAnsi="Times New Roman" w:cs="Times New Roman"/>
          <w:i/>
          <w:sz w:val="24"/>
          <w:szCs w:val="24"/>
          <w:lang w:val="sq-AL"/>
        </w:rPr>
        <w:t>poshtë</w:t>
      </w:r>
      <w:r w:rsidR="00920876" w:rsidRPr="00991BFE">
        <w:rPr>
          <w:rFonts w:ascii="Times New Roman" w:hAnsi="Times New Roman" w:cs="Times New Roman"/>
          <w:sz w:val="24"/>
          <w:szCs w:val="24"/>
          <w:lang w:val="sq-AL"/>
        </w:rPr>
        <w:t xml:space="preserve">). </w:t>
      </w:r>
    </w:p>
    <w:p w14:paraId="40C5AE58" w14:textId="77777777" w:rsidR="004B0A5D" w:rsidRPr="00991BFE" w:rsidRDefault="004B0A5D" w:rsidP="007C0F26">
      <w:pPr>
        <w:spacing w:line="276" w:lineRule="auto"/>
        <w:jc w:val="both"/>
        <w:rPr>
          <w:rFonts w:ascii="Times New Roman" w:hAnsi="Times New Roman" w:cs="Times New Roman"/>
          <w:sz w:val="24"/>
          <w:szCs w:val="24"/>
          <w:lang w:val="sq-AL"/>
        </w:rPr>
      </w:pPr>
    </w:p>
    <w:tbl>
      <w:tblPr>
        <w:tblStyle w:val="TableGrid"/>
        <w:tblW w:w="9022" w:type="dxa"/>
        <w:tblInd w:w="355" w:type="dxa"/>
        <w:tblLayout w:type="fixed"/>
        <w:tblLook w:val="04A0" w:firstRow="1" w:lastRow="0" w:firstColumn="1" w:lastColumn="0" w:noHBand="0" w:noVBand="1"/>
      </w:tblPr>
      <w:tblGrid>
        <w:gridCol w:w="1288"/>
        <w:gridCol w:w="1289"/>
        <w:gridCol w:w="1289"/>
        <w:gridCol w:w="1289"/>
        <w:gridCol w:w="1289"/>
        <w:gridCol w:w="1289"/>
        <w:gridCol w:w="1289"/>
      </w:tblGrid>
      <w:tr w:rsidR="00FB4303" w:rsidRPr="00991BFE" w14:paraId="7263830F" w14:textId="77777777" w:rsidTr="009A524C">
        <w:tc>
          <w:tcPr>
            <w:tcW w:w="1288" w:type="dxa"/>
          </w:tcPr>
          <w:p w14:paraId="2EA9465B" w14:textId="77777777" w:rsidR="00FB4303" w:rsidRPr="00991BFE" w:rsidRDefault="00FB4303" w:rsidP="009A524C">
            <w:pPr>
              <w:widowControl w:val="0"/>
              <w:jc w:val="center"/>
              <w:rPr>
                <w:rFonts w:ascii="Times New Roman" w:hAnsi="Times New Roman" w:cs="Times New Roman"/>
                <w:b/>
                <w:sz w:val="18"/>
                <w:szCs w:val="18"/>
                <w:lang w:val="sq-AL"/>
              </w:rPr>
            </w:pPr>
            <w:r w:rsidRPr="00991BFE">
              <w:rPr>
                <w:rFonts w:ascii="Times New Roman" w:hAnsi="Times New Roman" w:cs="Times New Roman"/>
                <w:b/>
                <w:sz w:val="18"/>
                <w:szCs w:val="18"/>
                <w:lang w:val="sq-AL"/>
              </w:rPr>
              <w:t>KATEGORIA 1</w:t>
            </w:r>
          </w:p>
        </w:tc>
        <w:tc>
          <w:tcPr>
            <w:tcW w:w="1289" w:type="dxa"/>
          </w:tcPr>
          <w:p w14:paraId="2EFCEB20" w14:textId="77777777" w:rsidR="00FB4303" w:rsidRPr="00991BFE" w:rsidRDefault="00FB4303" w:rsidP="009A524C">
            <w:pPr>
              <w:widowControl w:val="0"/>
              <w:jc w:val="center"/>
              <w:rPr>
                <w:rFonts w:ascii="Times New Roman" w:hAnsi="Times New Roman" w:cs="Times New Roman"/>
                <w:b/>
                <w:sz w:val="18"/>
                <w:szCs w:val="18"/>
                <w:lang w:val="sq-AL"/>
              </w:rPr>
            </w:pPr>
            <w:r w:rsidRPr="00991BFE">
              <w:rPr>
                <w:rFonts w:ascii="Times New Roman" w:hAnsi="Times New Roman" w:cs="Times New Roman"/>
                <w:b/>
                <w:sz w:val="18"/>
                <w:szCs w:val="18"/>
                <w:lang w:val="sq-AL"/>
              </w:rPr>
              <w:t>KATEGORIA 2</w:t>
            </w:r>
          </w:p>
        </w:tc>
        <w:tc>
          <w:tcPr>
            <w:tcW w:w="1289" w:type="dxa"/>
          </w:tcPr>
          <w:p w14:paraId="37D4EAD7" w14:textId="77777777" w:rsidR="00FB4303" w:rsidRPr="00991BFE" w:rsidRDefault="00FB4303" w:rsidP="009A524C">
            <w:pPr>
              <w:widowControl w:val="0"/>
              <w:jc w:val="center"/>
              <w:rPr>
                <w:rFonts w:ascii="Times New Roman" w:hAnsi="Times New Roman" w:cs="Times New Roman"/>
                <w:b/>
                <w:sz w:val="18"/>
                <w:szCs w:val="18"/>
                <w:lang w:val="sq-AL"/>
              </w:rPr>
            </w:pPr>
            <w:r w:rsidRPr="00991BFE">
              <w:rPr>
                <w:rFonts w:ascii="Times New Roman" w:hAnsi="Times New Roman" w:cs="Times New Roman"/>
                <w:b/>
                <w:sz w:val="18"/>
                <w:szCs w:val="18"/>
                <w:lang w:val="sq-AL"/>
              </w:rPr>
              <w:t>KATEGORIA 3</w:t>
            </w:r>
          </w:p>
        </w:tc>
        <w:tc>
          <w:tcPr>
            <w:tcW w:w="1289" w:type="dxa"/>
          </w:tcPr>
          <w:p w14:paraId="7E420721" w14:textId="77777777" w:rsidR="00FB4303" w:rsidRPr="00991BFE" w:rsidRDefault="00FB4303" w:rsidP="009A524C">
            <w:pPr>
              <w:widowControl w:val="0"/>
              <w:jc w:val="center"/>
              <w:rPr>
                <w:rFonts w:ascii="Times New Roman" w:hAnsi="Times New Roman" w:cs="Times New Roman"/>
                <w:b/>
                <w:sz w:val="18"/>
                <w:szCs w:val="18"/>
                <w:lang w:val="sq-AL"/>
              </w:rPr>
            </w:pPr>
            <w:r w:rsidRPr="00991BFE">
              <w:rPr>
                <w:rFonts w:ascii="Times New Roman" w:hAnsi="Times New Roman" w:cs="Times New Roman"/>
                <w:b/>
                <w:sz w:val="18"/>
                <w:szCs w:val="18"/>
                <w:lang w:val="sq-AL"/>
              </w:rPr>
              <w:t>KATEGORIA 4</w:t>
            </w:r>
          </w:p>
        </w:tc>
        <w:tc>
          <w:tcPr>
            <w:tcW w:w="1289" w:type="dxa"/>
          </w:tcPr>
          <w:p w14:paraId="461872B3" w14:textId="77777777" w:rsidR="00FB4303" w:rsidRPr="00991BFE" w:rsidRDefault="00FB4303" w:rsidP="009A524C">
            <w:pPr>
              <w:widowControl w:val="0"/>
              <w:jc w:val="center"/>
              <w:rPr>
                <w:rFonts w:ascii="Times New Roman" w:hAnsi="Times New Roman" w:cs="Times New Roman"/>
                <w:b/>
                <w:sz w:val="18"/>
                <w:szCs w:val="18"/>
                <w:lang w:val="sq-AL"/>
              </w:rPr>
            </w:pPr>
            <w:r w:rsidRPr="00991BFE">
              <w:rPr>
                <w:rFonts w:ascii="Times New Roman" w:hAnsi="Times New Roman" w:cs="Times New Roman"/>
                <w:b/>
                <w:sz w:val="18"/>
                <w:szCs w:val="18"/>
                <w:lang w:val="sq-AL"/>
              </w:rPr>
              <w:t>KATEGORIA 5</w:t>
            </w:r>
          </w:p>
        </w:tc>
        <w:tc>
          <w:tcPr>
            <w:tcW w:w="1289" w:type="dxa"/>
          </w:tcPr>
          <w:p w14:paraId="32F524A7" w14:textId="77777777" w:rsidR="00FB4303" w:rsidRPr="00991BFE" w:rsidRDefault="00FB4303" w:rsidP="009A524C">
            <w:pPr>
              <w:widowControl w:val="0"/>
              <w:jc w:val="center"/>
              <w:rPr>
                <w:rFonts w:ascii="Times New Roman" w:hAnsi="Times New Roman" w:cs="Times New Roman"/>
                <w:b/>
                <w:sz w:val="18"/>
                <w:szCs w:val="18"/>
                <w:lang w:val="sq-AL"/>
              </w:rPr>
            </w:pPr>
            <w:r w:rsidRPr="00991BFE">
              <w:rPr>
                <w:rFonts w:ascii="Times New Roman" w:hAnsi="Times New Roman" w:cs="Times New Roman"/>
                <w:b/>
                <w:sz w:val="18"/>
                <w:szCs w:val="18"/>
                <w:lang w:val="sq-AL"/>
              </w:rPr>
              <w:t>KATEGORIA 6</w:t>
            </w:r>
          </w:p>
        </w:tc>
        <w:tc>
          <w:tcPr>
            <w:tcW w:w="1289" w:type="dxa"/>
          </w:tcPr>
          <w:p w14:paraId="018BFC87" w14:textId="77777777" w:rsidR="00FB4303" w:rsidRPr="00991BFE" w:rsidRDefault="00FB4303" w:rsidP="009A524C">
            <w:pPr>
              <w:widowControl w:val="0"/>
              <w:jc w:val="center"/>
              <w:rPr>
                <w:rFonts w:ascii="Times New Roman" w:hAnsi="Times New Roman" w:cs="Times New Roman"/>
                <w:b/>
                <w:sz w:val="18"/>
                <w:szCs w:val="18"/>
                <w:lang w:val="sq-AL"/>
              </w:rPr>
            </w:pPr>
            <w:r w:rsidRPr="00991BFE">
              <w:rPr>
                <w:rFonts w:ascii="Times New Roman" w:hAnsi="Times New Roman" w:cs="Times New Roman"/>
                <w:b/>
                <w:sz w:val="18"/>
                <w:szCs w:val="18"/>
                <w:lang w:val="sq-AL"/>
              </w:rPr>
              <w:t>KATEGORIA 7</w:t>
            </w:r>
          </w:p>
        </w:tc>
      </w:tr>
      <w:tr w:rsidR="00FB4303" w:rsidRPr="00991BFE" w14:paraId="34E5EE1A" w14:textId="77777777" w:rsidTr="009A524C">
        <w:tc>
          <w:tcPr>
            <w:tcW w:w="1288" w:type="dxa"/>
          </w:tcPr>
          <w:p w14:paraId="6EA7C33E" w14:textId="77777777" w:rsidR="00FB4303" w:rsidRPr="00991BFE" w:rsidRDefault="00FB4303" w:rsidP="009A524C">
            <w:pPr>
              <w:widowControl w:val="0"/>
              <w:jc w:val="center"/>
              <w:rPr>
                <w:rFonts w:ascii="Times New Roman" w:hAnsi="Times New Roman" w:cs="Times New Roman"/>
                <w:sz w:val="18"/>
                <w:szCs w:val="18"/>
                <w:lang w:val="sq-AL"/>
              </w:rPr>
            </w:pPr>
          </w:p>
          <w:p w14:paraId="34FA2360"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Tiranë</w:t>
            </w:r>
          </w:p>
          <w:p w14:paraId="7B2BEB78" w14:textId="77777777" w:rsidR="00FB4303" w:rsidRPr="00991BFE" w:rsidRDefault="00FB4303" w:rsidP="009A524C">
            <w:pPr>
              <w:widowControl w:val="0"/>
              <w:jc w:val="center"/>
              <w:rPr>
                <w:rFonts w:ascii="Times New Roman" w:hAnsi="Times New Roman" w:cs="Times New Roman"/>
                <w:sz w:val="18"/>
                <w:szCs w:val="18"/>
                <w:lang w:val="sq-AL"/>
              </w:rPr>
            </w:pPr>
          </w:p>
        </w:tc>
        <w:tc>
          <w:tcPr>
            <w:tcW w:w="1289" w:type="dxa"/>
          </w:tcPr>
          <w:p w14:paraId="5EF55360" w14:textId="77777777" w:rsidR="00FB4303" w:rsidRPr="00991BFE" w:rsidRDefault="00FB4303" w:rsidP="009A524C">
            <w:pPr>
              <w:widowControl w:val="0"/>
              <w:rPr>
                <w:rFonts w:ascii="Times New Roman" w:hAnsi="Times New Roman" w:cs="Times New Roman"/>
                <w:sz w:val="18"/>
                <w:szCs w:val="18"/>
                <w:lang w:val="sq-AL"/>
              </w:rPr>
            </w:pPr>
          </w:p>
          <w:p w14:paraId="048C8297"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Durrës</w:t>
            </w:r>
          </w:p>
          <w:p w14:paraId="1D7A7FDF"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Himarë</w:t>
            </w:r>
          </w:p>
          <w:p w14:paraId="7F885D82"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Vlorë</w:t>
            </w:r>
          </w:p>
          <w:p w14:paraId="2D7839B7"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Sarandë</w:t>
            </w:r>
          </w:p>
          <w:p w14:paraId="784AF420" w14:textId="77777777" w:rsidR="00FB4303" w:rsidRPr="00991BFE" w:rsidRDefault="00FB4303" w:rsidP="009A524C">
            <w:pPr>
              <w:widowControl w:val="0"/>
              <w:jc w:val="center"/>
              <w:rPr>
                <w:rFonts w:ascii="Times New Roman" w:hAnsi="Times New Roman" w:cs="Times New Roman"/>
                <w:sz w:val="18"/>
                <w:szCs w:val="18"/>
                <w:lang w:val="sq-AL"/>
              </w:rPr>
            </w:pPr>
          </w:p>
          <w:p w14:paraId="6E8456E0" w14:textId="77777777" w:rsidR="00FB4303" w:rsidRPr="00991BFE" w:rsidRDefault="00FB4303" w:rsidP="009A524C">
            <w:pPr>
              <w:widowControl w:val="0"/>
              <w:jc w:val="center"/>
              <w:rPr>
                <w:rFonts w:ascii="Times New Roman" w:hAnsi="Times New Roman" w:cs="Times New Roman"/>
                <w:sz w:val="18"/>
                <w:szCs w:val="18"/>
                <w:lang w:val="sq-AL"/>
              </w:rPr>
            </w:pPr>
          </w:p>
          <w:p w14:paraId="6605B4E7" w14:textId="77777777" w:rsidR="00FB4303" w:rsidRPr="00991BFE" w:rsidRDefault="00FB4303" w:rsidP="009A524C">
            <w:pPr>
              <w:widowControl w:val="0"/>
              <w:jc w:val="center"/>
              <w:rPr>
                <w:rFonts w:ascii="Times New Roman" w:hAnsi="Times New Roman" w:cs="Times New Roman"/>
                <w:sz w:val="18"/>
                <w:szCs w:val="18"/>
                <w:lang w:val="sq-AL"/>
              </w:rPr>
            </w:pPr>
          </w:p>
          <w:p w14:paraId="03F9E08E" w14:textId="77777777" w:rsidR="00FB4303" w:rsidRPr="00991BFE" w:rsidRDefault="00FB4303" w:rsidP="009A524C">
            <w:pPr>
              <w:widowControl w:val="0"/>
              <w:jc w:val="center"/>
              <w:rPr>
                <w:rFonts w:ascii="Times New Roman" w:hAnsi="Times New Roman" w:cs="Times New Roman"/>
                <w:sz w:val="18"/>
                <w:szCs w:val="18"/>
                <w:lang w:val="sq-AL"/>
              </w:rPr>
            </w:pPr>
          </w:p>
          <w:p w14:paraId="24286AE0" w14:textId="77777777" w:rsidR="00FB4303" w:rsidRPr="00991BFE" w:rsidRDefault="00FB4303" w:rsidP="009A524C">
            <w:pPr>
              <w:widowControl w:val="0"/>
              <w:jc w:val="center"/>
              <w:rPr>
                <w:rFonts w:ascii="Times New Roman" w:hAnsi="Times New Roman" w:cs="Times New Roman"/>
                <w:sz w:val="18"/>
                <w:szCs w:val="18"/>
                <w:lang w:val="sq-AL"/>
              </w:rPr>
            </w:pPr>
          </w:p>
          <w:p w14:paraId="3D98CB32" w14:textId="77777777" w:rsidR="00FB4303" w:rsidRPr="00991BFE" w:rsidRDefault="00FB4303" w:rsidP="009A524C">
            <w:pPr>
              <w:widowControl w:val="0"/>
              <w:jc w:val="center"/>
              <w:rPr>
                <w:rFonts w:ascii="Times New Roman" w:hAnsi="Times New Roman" w:cs="Times New Roman"/>
                <w:sz w:val="18"/>
                <w:szCs w:val="18"/>
                <w:lang w:val="sq-AL"/>
              </w:rPr>
            </w:pPr>
          </w:p>
          <w:p w14:paraId="29B8235E" w14:textId="77777777" w:rsidR="00FB4303" w:rsidRPr="00991BFE" w:rsidRDefault="00FB4303" w:rsidP="009A524C">
            <w:pPr>
              <w:widowControl w:val="0"/>
              <w:rPr>
                <w:rFonts w:ascii="Times New Roman" w:hAnsi="Times New Roman" w:cs="Times New Roman"/>
                <w:sz w:val="18"/>
                <w:szCs w:val="18"/>
                <w:lang w:val="sq-AL"/>
              </w:rPr>
            </w:pPr>
          </w:p>
        </w:tc>
        <w:tc>
          <w:tcPr>
            <w:tcW w:w="1289" w:type="dxa"/>
          </w:tcPr>
          <w:p w14:paraId="18319DB3" w14:textId="77777777" w:rsidR="00FB4303" w:rsidRPr="00991BFE" w:rsidRDefault="00FB4303" w:rsidP="009A524C">
            <w:pPr>
              <w:widowControl w:val="0"/>
              <w:jc w:val="center"/>
              <w:rPr>
                <w:rFonts w:ascii="Times New Roman" w:hAnsi="Times New Roman" w:cs="Times New Roman"/>
                <w:sz w:val="18"/>
                <w:szCs w:val="18"/>
                <w:lang w:val="sq-AL"/>
              </w:rPr>
            </w:pPr>
          </w:p>
          <w:p w14:paraId="427B999E"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Elbasan</w:t>
            </w:r>
          </w:p>
          <w:p w14:paraId="1AC12814"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Fier</w:t>
            </w:r>
          </w:p>
          <w:p w14:paraId="7F2B4D65"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Kamëz</w:t>
            </w:r>
          </w:p>
          <w:p w14:paraId="3B451C7E"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Kavajë</w:t>
            </w:r>
          </w:p>
          <w:p w14:paraId="6562F0E7"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Korçë</w:t>
            </w:r>
          </w:p>
          <w:p w14:paraId="1FC0B3AC"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Lezhë</w:t>
            </w:r>
          </w:p>
          <w:p w14:paraId="3EB99A96"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Pogradec</w:t>
            </w:r>
          </w:p>
          <w:p w14:paraId="716C42CF"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Shkodër</w:t>
            </w:r>
          </w:p>
          <w:p w14:paraId="614BE2A1"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Vorë</w:t>
            </w:r>
          </w:p>
        </w:tc>
        <w:tc>
          <w:tcPr>
            <w:tcW w:w="1289" w:type="dxa"/>
          </w:tcPr>
          <w:p w14:paraId="374215D4" w14:textId="77777777" w:rsidR="00FB4303" w:rsidRPr="00991BFE" w:rsidRDefault="00FB4303" w:rsidP="009A524C">
            <w:pPr>
              <w:widowControl w:val="0"/>
              <w:rPr>
                <w:rFonts w:ascii="Times New Roman" w:hAnsi="Times New Roman" w:cs="Times New Roman"/>
                <w:sz w:val="18"/>
                <w:szCs w:val="18"/>
                <w:lang w:val="sq-AL"/>
              </w:rPr>
            </w:pPr>
          </w:p>
          <w:p w14:paraId="7D4C299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Berat</w:t>
            </w:r>
          </w:p>
          <w:p w14:paraId="6DE4CCA3"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Dibër</w:t>
            </w:r>
          </w:p>
          <w:p w14:paraId="7D8B855E"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Divjakë</w:t>
            </w:r>
          </w:p>
          <w:p w14:paraId="6C88669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Gjirokastër</w:t>
            </w:r>
          </w:p>
          <w:p w14:paraId="47D4FABC"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Gramsh</w:t>
            </w:r>
          </w:p>
          <w:p w14:paraId="50A3E193"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Krujë</w:t>
            </w:r>
          </w:p>
          <w:p w14:paraId="3A11B818"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Kukës</w:t>
            </w:r>
          </w:p>
          <w:p w14:paraId="54D03594"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Librazhd</w:t>
            </w:r>
          </w:p>
          <w:p w14:paraId="52A445D5"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Lushnjë</w:t>
            </w:r>
          </w:p>
          <w:p w14:paraId="0317D8C5"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Malësi e Madhe</w:t>
            </w:r>
          </w:p>
          <w:p w14:paraId="44E3AF9E"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Mat</w:t>
            </w:r>
          </w:p>
          <w:p w14:paraId="6DD52720"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Mirditë</w:t>
            </w:r>
          </w:p>
          <w:p w14:paraId="254AE898"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Përrenjas</w:t>
            </w:r>
          </w:p>
          <w:p w14:paraId="45C9CD56"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Rrogozhinë</w:t>
            </w:r>
          </w:p>
        </w:tc>
        <w:tc>
          <w:tcPr>
            <w:tcW w:w="1289" w:type="dxa"/>
          </w:tcPr>
          <w:p w14:paraId="69D725F8" w14:textId="77777777" w:rsidR="00FB4303" w:rsidRPr="00991BFE" w:rsidRDefault="00FB4303" w:rsidP="009A524C">
            <w:pPr>
              <w:widowControl w:val="0"/>
              <w:jc w:val="center"/>
              <w:rPr>
                <w:rFonts w:ascii="Times New Roman" w:hAnsi="Times New Roman" w:cs="Times New Roman"/>
                <w:sz w:val="18"/>
                <w:szCs w:val="18"/>
                <w:lang w:val="sq-AL"/>
              </w:rPr>
            </w:pPr>
          </w:p>
          <w:p w14:paraId="7DD8911A"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Belsh</w:t>
            </w:r>
          </w:p>
          <w:p w14:paraId="784395DE"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Bulqizë</w:t>
            </w:r>
          </w:p>
          <w:p w14:paraId="53D95691"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Cërrik</w:t>
            </w:r>
          </w:p>
          <w:p w14:paraId="53DAC853"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Delvinë</w:t>
            </w:r>
          </w:p>
          <w:p w14:paraId="0B43F538"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Devoll</w:t>
            </w:r>
          </w:p>
          <w:p w14:paraId="49230962"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Dimal</w:t>
            </w:r>
          </w:p>
          <w:p w14:paraId="602BDC9A"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Dropull</w:t>
            </w:r>
          </w:p>
          <w:p w14:paraId="0DBADE4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Finiq</w:t>
            </w:r>
          </w:p>
          <w:p w14:paraId="54EE3DEE"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Has</w:t>
            </w:r>
          </w:p>
          <w:p w14:paraId="52CAC221"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Këlcyrë</w:t>
            </w:r>
          </w:p>
          <w:p w14:paraId="478650B1"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Klos</w:t>
            </w:r>
          </w:p>
          <w:p w14:paraId="06D274F0"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Konispol</w:t>
            </w:r>
          </w:p>
          <w:p w14:paraId="52DCDE7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Kuçovë</w:t>
            </w:r>
          </w:p>
          <w:p w14:paraId="7E4FA623"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Kurbin</w:t>
            </w:r>
          </w:p>
          <w:p w14:paraId="50A59948"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Libohovë</w:t>
            </w:r>
          </w:p>
          <w:p w14:paraId="7BF62FB3"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Maliq</w:t>
            </w:r>
          </w:p>
          <w:p w14:paraId="2E90F05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Mallakastër</w:t>
            </w:r>
          </w:p>
          <w:p w14:paraId="096145CD"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Patos</w:t>
            </w:r>
          </w:p>
          <w:p w14:paraId="73BF772D"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Peqin</w:t>
            </w:r>
          </w:p>
          <w:p w14:paraId="134BF1E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Përmet</w:t>
            </w:r>
          </w:p>
          <w:p w14:paraId="638C352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Pustec</w:t>
            </w:r>
          </w:p>
          <w:p w14:paraId="14E0449B"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Roskovec</w:t>
            </w:r>
          </w:p>
          <w:p w14:paraId="7AB4B88F"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Shijak</w:t>
            </w:r>
          </w:p>
          <w:p w14:paraId="02194661"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Tepelenë</w:t>
            </w:r>
          </w:p>
          <w:p w14:paraId="1EADB79B"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Tropojë</w:t>
            </w:r>
          </w:p>
        </w:tc>
        <w:tc>
          <w:tcPr>
            <w:tcW w:w="1289" w:type="dxa"/>
          </w:tcPr>
          <w:p w14:paraId="2C10EDC2" w14:textId="77777777" w:rsidR="00FB4303" w:rsidRPr="00991BFE" w:rsidRDefault="00FB4303" w:rsidP="00B2136F">
            <w:pPr>
              <w:widowControl w:val="0"/>
              <w:rPr>
                <w:rFonts w:ascii="Times New Roman" w:hAnsi="Times New Roman" w:cs="Times New Roman"/>
                <w:sz w:val="18"/>
                <w:szCs w:val="18"/>
                <w:lang w:val="sq-AL"/>
              </w:rPr>
            </w:pPr>
          </w:p>
          <w:p w14:paraId="207DE459"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Kolonjë</w:t>
            </w:r>
          </w:p>
          <w:p w14:paraId="18ADFF01"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Poliçan</w:t>
            </w:r>
          </w:p>
          <w:p w14:paraId="661C8694"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Pukë</w:t>
            </w:r>
          </w:p>
          <w:p w14:paraId="6F63C4F6"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 xml:space="preserve">Selenicë </w:t>
            </w:r>
          </w:p>
          <w:p w14:paraId="61881278"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Skrapar</w:t>
            </w:r>
          </w:p>
          <w:p w14:paraId="3C395E3C" w14:textId="77777777" w:rsidR="00FB4303" w:rsidRPr="00991BFE" w:rsidRDefault="00FB4303" w:rsidP="009A524C">
            <w:pPr>
              <w:widowControl w:val="0"/>
              <w:spacing w:line="259" w:lineRule="auto"/>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Vau i Dejës</w:t>
            </w:r>
          </w:p>
          <w:p w14:paraId="7FE0F910" w14:textId="77777777" w:rsidR="00FB4303" w:rsidRPr="00991BFE" w:rsidRDefault="00FB4303" w:rsidP="009A524C">
            <w:pPr>
              <w:widowControl w:val="0"/>
              <w:jc w:val="center"/>
              <w:rPr>
                <w:rFonts w:ascii="Times New Roman" w:hAnsi="Times New Roman" w:cs="Times New Roman"/>
                <w:sz w:val="18"/>
                <w:szCs w:val="18"/>
                <w:lang w:val="sq-AL"/>
              </w:rPr>
            </w:pPr>
          </w:p>
        </w:tc>
        <w:tc>
          <w:tcPr>
            <w:tcW w:w="1289" w:type="dxa"/>
          </w:tcPr>
          <w:p w14:paraId="74BFCFC6" w14:textId="77777777" w:rsidR="00FB4303" w:rsidRPr="00991BFE" w:rsidRDefault="00FB4303" w:rsidP="009A524C">
            <w:pPr>
              <w:widowControl w:val="0"/>
              <w:jc w:val="center"/>
              <w:rPr>
                <w:rFonts w:ascii="Times New Roman" w:hAnsi="Times New Roman" w:cs="Times New Roman"/>
                <w:sz w:val="18"/>
                <w:szCs w:val="18"/>
                <w:lang w:val="sq-AL"/>
              </w:rPr>
            </w:pPr>
          </w:p>
          <w:p w14:paraId="7D92CD98"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Fushë Arrëz</w:t>
            </w:r>
          </w:p>
          <w:p w14:paraId="03E64B5D"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Memaliaj</w:t>
            </w:r>
          </w:p>
        </w:tc>
      </w:tr>
      <w:tr w:rsidR="00FB4303" w:rsidRPr="00991BFE" w14:paraId="483073EE" w14:textId="77777777" w:rsidTr="009A524C">
        <w:tc>
          <w:tcPr>
            <w:tcW w:w="1288" w:type="dxa"/>
          </w:tcPr>
          <w:p w14:paraId="73EC2193" w14:textId="77777777" w:rsidR="00FB4303" w:rsidRPr="00991BFE" w:rsidRDefault="00FB4303" w:rsidP="009A524C">
            <w:pPr>
              <w:widowControl w:val="0"/>
              <w:jc w:val="center"/>
              <w:rPr>
                <w:rFonts w:ascii="Times New Roman" w:hAnsi="Times New Roman" w:cs="Times New Roman"/>
                <w:sz w:val="18"/>
                <w:szCs w:val="18"/>
                <w:lang w:val="sq-AL"/>
              </w:rPr>
            </w:pPr>
          </w:p>
          <w:p w14:paraId="44D10534"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Pragu maksimal</w:t>
            </w:r>
          </w:p>
          <w:p w14:paraId="21C17F06" w14:textId="7FFAE718" w:rsidR="00FB4303" w:rsidRPr="00991BFE" w:rsidRDefault="0065307C" w:rsidP="009A524C">
            <w:pPr>
              <w:widowControl w:val="0"/>
              <w:jc w:val="center"/>
              <w:rPr>
                <w:rFonts w:ascii="Times New Roman" w:hAnsi="Times New Roman" w:cs="Times New Roman"/>
                <w:sz w:val="18"/>
                <w:szCs w:val="18"/>
                <w:lang w:val="sq-AL"/>
              </w:rPr>
            </w:pPr>
            <w:r>
              <w:rPr>
                <w:rFonts w:ascii="Times New Roman" w:hAnsi="Times New Roman" w:cs="Times New Roman"/>
                <w:sz w:val="18"/>
                <w:szCs w:val="18"/>
                <w:lang w:val="sq-AL"/>
              </w:rPr>
              <w:t>8</w:t>
            </w:r>
            <w:r w:rsidR="00FB4303" w:rsidRPr="00991BFE">
              <w:rPr>
                <w:rFonts w:ascii="Times New Roman" w:hAnsi="Times New Roman" w:cs="Times New Roman"/>
                <w:sz w:val="18"/>
                <w:szCs w:val="18"/>
                <w:lang w:val="sq-AL"/>
              </w:rPr>
              <w:t>,</w:t>
            </w:r>
            <w:r>
              <w:rPr>
                <w:rFonts w:ascii="Times New Roman" w:hAnsi="Times New Roman" w:cs="Times New Roman"/>
                <w:sz w:val="18"/>
                <w:szCs w:val="18"/>
                <w:lang w:val="sq-AL"/>
              </w:rPr>
              <w:t>40</w:t>
            </w:r>
            <w:r w:rsidR="00FB4303" w:rsidRPr="00991BFE">
              <w:rPr>
                <w:rFonts w:ascii="Times New Roman" w:hAnsi="Times New Roman" w:cs="Times New Roman"/>
                <w:sz w:val="18"/>
                <w:szCs w:val="18"/>
                <w:lang w:val="sq-AL"/>
              </w:rPr>
              <w:t>0,000 lekë</w:t>
            </w:r>
          </w:p>
        </w:tc>
        <w:tc>
          <w:tcPr>
            <w:tcW w:w="1289" w:type="dxa"/>
          </w:tcPr>
          <w:p w14:paraId="1732C892" w14:textId="77777777" w:rsidR="00FB4303" w:rsidRPr="00991BFE" w:rsidRDefault="00FB4303" w:rsidP="009A524C">
            <w:pPr>
              <w:widowControl w:val="0"/>
              <w:jc w:val="center"/>
              <w:rPr>
                <w:rFonts w:ascii="Times New Roman" w:hAnsi="Times New Roman" w:cs="Times New Roman"/>
                <w:sz w:val="18"/>
                <w:szCs w:val="18"/>
                <w:lang w:val="sq-AL"/>
              </w:rPr>
            </w:pPr>
          </w:p>
          <w:p w14:paraId="12455625"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Pragu maksimal</w:t>
            </w:r>
          </w:p>
          <w:p w14:paraId="09067966" w14:textId="18E785FB"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4,</w:t>
            </w:r>
            <w:r w:rsidR="0065307C">
              <w:rPr>
                <w:rFonts w:ascii="Times New Roman" w:hAnsi="Times New Roman" w:cs="Times New Roman"/>
                <w:sz w:val="18"/>
                <w:szCs w:val="18"/>
                <w:lang w:val="sq-AL"/>
              </w:rPr>
              <w:t>75</w:t>
            </w:r>
            <w:r w:rsidRPr="00991BFE">
              <w:rPr>
                <w:rFonts w:ascii="Times New Roman" w:hAnsi="Times New Roman" w:cs="Times New Roman"/>
                <w:sz w:val="18"/>
                <w:szCs w:val="18"/>
                <w:lang w:val="sq-AL"/>
              </w:rPr>
              <w:t>0,000 lekë</w:t>
            </w:r>
          </w:p>
        </w:tc>
        <w:tc>
          <w:tcPr>
            <w:tcW w:w="1289" w:type="dxa"/>
          </w:tcPr>
          <w:p w14:paraId="586BFB1F" w14:textId="77777777" w:rsidR="00FB4303" w:rsidRPr="00991BFE" w:rsidRDefault="00FB4303" w:rsidP="009A524C">
            <w:pPr>
              <w:widowControl w:val="0"/>
              <w:jc w:val="center"/>
              <w:rPr>
                <w:rFonts w:ascii="Times New Roman" w:hAnsi="Times New Roman" w:cs="Times New Roman"/>
                <w:sz w:val="18"/>
                <w:szCs w:val="18"/>
                <w:lang w:val="sq-AL"/>
              </w:rPr>
            </w:pPr>
          </w:p>
          <w:p w14:paraId="418DAF86"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Pragu maksimal</w:t>
            </w:r>
          </w:p>
          <w:p w14:paraId="73938AA8" w14:textId="051E5945"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3,</w:t>
            </w:r>
            <w:r w:rsidR="0065307C">
              <w:rPr>
                <w:rFonts w:ascii="Times New Roman" w:hAnsi="Times New Roman" w:cs="Times New Roman"/>
                <w:sz w:val="18"/>
                <w:szCs w:val="18"/>
                <w:lang w:val="sq-AL"/>
              </w:rPr>
              <w:t>55</w:t>
            </w:r>
            <w:r w:rsidRPr="00991BFE">
              <w:rPr>
                <w:rFonts w:ascii="Times New Roman" w:hAnsi="Times New Roman" w:cs="Times New Roman"/>
                <w:sz w:val="18"/>
                <w:szCs w:val="18"/>
                <w:lang w:val="sq-AL"/>
              </w:rPr>
              <w:t>0,000 lekë</w:t>
            </w:r>
          </w:p>
        </w:tc>
        <w:tc>
          <w:tcPr>
            <w:tcW w:w="1289" w:type="dxa"/>
          </w:tcPr>
          <w:p w14:paraId="7E3B4D35" w14:textId="77777777" w:rsidR="00FB4303" w:rsidRPr="00991BFE" w:rsidRDefault="00FB4303" w:rsidP="009A524C">
            <w:pPr>
              <w:widowControl w:val="0"/>
              <w:jc w:val="center"/>
              <w:rPr>
                <w:rFonts w:ascii="Times New Roman" w:hAnsi="Times New Roman" w:cs="Times New Roman"/>
                <w:sz w:val="18"/>
                <w:szCs w:val="18"/>
                <w:lang w:val="sq-AL"/>
              </w:rPr>
            </w:pPr>
          </w:p>
          <w:p w14:paraId="440DE5F6"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Pragu maksimal</w:t>
            </w:r>
          </w:p>
          <w:p w14:paraId="643BE402" w14:textId="308554AE"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2,</w:t>
            </w:r>
            <w:r w:rsidR="0065307C">
              <w:rPr>
                <w:rFonts w:ascii="Times New Roman" w:hAnsi="Times New Roman" w:cs="Times New Roman"/>
                <w:sz w:val="18"/>
                <w:szCs w:val="18"/>
                <w:lang w:val="sq-AL"/>
              </w:rPr>
              <w:t>8</w:t>
            </w:r>
            <w:r w:rsidRPr="00991BFE">
              <w:rPr>
                <w:rFonts w:ascii="Times New Roman" w:hAnsi="Times New Roman" w:cs="Times New Roman"/>
                <w:sz w:val="18"/>
                <w:szCs w:val="18"/>
                <w:lang w:val="sq-AL"/>
              </w:rPr>
              <w:t>00,000 lekë</w:t>
            </w:r>
          </w:p>
        </w:tc>
        <w:tc>
          <w:tcPr>
            <w:tcW w:w="1289" w:type="dxa"/>
          </w:tcPr>
          <w:p w14:paraId="68A7122A"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br/>
              <w:t>Pragu maksimal</w:t>
            </w:r>
          </w:p>
          <w:p w14:paraId="6C70D59C" w14:textId="0FEE8A4C" w:rsidR="00FB4303" w:rsidRPr="00991BFE" w:rsidRDefault="0065307C" w:rsidP="009A524C">
            <w:pPr>
              <w:widowControl w:val="0"/>
              <w:jc w:val="center"/>
              <w:rPr>
                <w:rFonts w:ascii="Times New Roman" w:hAnsi="Times New Roman" w:cs="Times New Roman"/>
                <w:sz w:val="18"/>
                <w:szCs w:val="18"/>
                <w:lang w:val="sq-AL"/>
              </w:rPr>
            </w:pPr>
            <w:r>
              <w:rPr>
                <w:rFonts w:ascii="Times New Roman" w:hAnsi="Times New Roman" w:cs="Times New Roman"/>
                <w:sz w:val="18"/>
                <w:szCs w:val="18"/>
                <w:lang w:val="sq-AL"/>
              </w:rPr>
              <w:t>2</w:t>
            </w:r>
            <w:r w:rsidR="00FB4303" w:rsidRPr="00991BFE">
              <w:rPr>
                <w:rFonts w:ascii="Times New Roman" w:hAnsi="Times New Roman" w:cs="Times New Roman"/>
                <w:sz w:val="18"/>
                <w:szCs w:val="18"/>
                <w:lang w:val="sq-AL"/>
              </w:rPr>
              <w:t>,</w:t>
            </w:r>
            <w:r>
              <w:rPr>
                <w:rFonts w:ascii="Times New Roman" w:hAnsi="Times New Roman" w:cs="Times New Roman"/>
                <w:sz w:val="18"/>
                <w:szCs w:val="18"/>
                <w:lang w:val="sq-AL"/>
              </w:rPr>
              <w:t>0</w:t>
            </w:r>
            <w:r w:rsidR="00FB4303" w:rsidRPr="00991BFE">
              <w:rPr>
                <w:rFonts w:ascii="Times New Roman" w:hAnsi="Times New Roman" w:cs="Times New Roman"/>
                <w:sz w:val="18"/>
                <w:szCs w:val="18"/>
                <w:lang w:val="sq-AL"/>
              </w:rPr>
              <w:t>50,000 lekë</w:t>
            </w:r>
          </w:p>
        </w:tc>
        <w:tc>
          <w:tcPr>
            <w:tcW w:w="1289" w:type="dxa"/>
          </w:tcPr>
          <w:p w14:paraId="3FBFA148" w14:textId="77777777" w:rsidR="00FB4303" w:rsidRPr="00991BFE" w:rsidRDefault="00FB4303" w:rsidP="009A524C">
            <w:pPr>
              <w:widowControl w:val="0"/>
              <w:jc w:val="center"/>
              <w:rPr>
                <w:rFonts w:ascii="Times New Roman" w:hAnsi="Times New Roman" w:cs="Times New Roman"/>
                <w:sz w:val="18"/>
                <w:szCs w:val="18"/>
                <w:lang w:val="sq-AL"/>
              </w:rPr>
            </w:pPr>
          </w:p>
          <w:p w14:paraId="359B184E"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Pragu maksimal</w:t>
            </w:r>
          </w:p>
          <w:p w14:paraId="1A003750" w14:textId="19FC7774"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1,</w:t>
            </w:r>
            <w:r w:rsidR="0065307C">
              <w:rPr>
                <w:rFonts w:ascii="Times New Roman" w:hAnsi="Times New Roman" w:cs="Times New Roman"/>
                <w:sz w:val="18"/>
                <w:szCs w:val="18"/>
                <w:lang w:val="sq-AL"/>
              </w:rPr>
              <w:t>4</w:t>
            </w:r>
            <w:r w:rsidRPr="00991BFE">
              <w:rPr>
                <w:rFonts w:ascii="Times New Roman" w:hAnsi="Times New Roman" w:cs="Times New Roman"/>
                <w:sz w:val="18"/>
                <w:szCs w:val="18"/>
                <w:lang w:val="sq-AL"/>
              </w:rPr>
              <w:t>50,000 lekë</w:t>
            </w:r>
          </w:p>
        </w:tc>
        <w:tc>
          <w:tcPr>
            <w:tcW w:w="1289" w:type="dxa"/>
          </w:tcPr>
          <w:p w14:paraId="1556BCC6" w14:textId="77777777" w:rsidR="00FB4303" w:rsidRPr="00991BFE" w:rsidRDefault="00FB4303" w:rsidP="009A524C">
            <w:pPr>
              <w:widowControl w:val="0"/>
              <w:jc w:val="center"/>
              <w:rPr>
                <w:rFonts w:ascii="Times New Roman" w:hAnsi="Times New Roman" w:cs="Times New Roman"/>
                <w:sz w:val="18"/>
                <w:szCs w:val="18"/>
                <w:lang w:val="sq-AL"/>
              </w:rPr>
            </w:pPr>
          </w:p>
          <w:p w14:paraId="3B94C10F" w14:textId="77777777" w:rsidR="00FB4303" w:rsidRPr="00991BFE" w:rsidRDefault="00FB4303" w:rsidP="009A524C">
            <w:pPr>
              <w:widowControl w:val="0"/>
              <w:jc w:val="center"/>
              <w:rPr>
                <w:rFonts w:ascii="Times New Roman" w:hAnsi="Times New Roman" w:cs="Times New Roman"/>
                <w:sz w:val="18"/>
                <w:szCs w:val="18"/>
                <w:lang w:val="sq-AL"/>
              </w:rPr>
            </w:pPr>
            <w:r w:rsidRPr="00991BFE">
              <w:rPr>
                <w:rFonts w:ascii="Times New Roman" w:hAnsi="Times New Roman" w:cs="Times New Roman"/>
                <w:sz w:val="18"/>
                <w:szCs w:val="18"/>
                <w:lang w:val="sq-AL"/>
              </w:rPr>
              <w:t>Pragu maksimal</w:t>
            </w:r>
          </w:p>
          <w:p w14:paraId="54BF4114" w14:textId="000DF188" w:rsidR="00FB4303" w:rsidRPr="00991BFE" w:rsidRDefault="0065307C" w:rsidP="009A524C">
            <w:pPr>
              <w:widowControl w:val="0"/>
              <w:jc w:val="center"/>
              <w:rPr>
                <w:rFonts w:ascii="Times New Roman" w:hAnsi="Times New Roman" w:cs="Times New Roman"/>
                <w:sz w:val="18"/>
                <w:szCs w:val="18"/>
                <w:lang w:val="sq-AL"/>
              </w:rPr>
            </w:pPr>
            <w:r>
              <w:rPr>
                <w:rFonts w:ascii="Times New Roman" w:hAnsi="Times New Roman" w:cs="Times New Roman"/>
                <w:sz w:val="18"/>
                <w:szCs w:val="18"/>
                <w:lang w:val="sq-AL"/>
              </w:rPr>
              <w:t>7</w:t>
            </w:r>
            <w:r w:rsidR="00FB4303" w:rsidRPr="00991BFE">
              <w:rPr>
                <w:rFonts w:ascii="Times New Roman" w:hAnsi="Times New Roman" w:cs="Times New Roman"/>
                <w:sz w:val="18"/>
                <w:szCs w:val="18"/>
                <w:lang w:val="sq-AL"/>
              </w:rPr>
              <w:t>50,000 lekë</w:t>
            </w:r>
          </w:p>
        </w:tc>
      </w:tr>
    </w:tbl>
    <w:p w14:paraId="7026D67A" w14:textId="77777777" w:rsidR="00920876" w:rsidRPr="00991BFE" w:rsidRDefault="00920876" w:rsidP="007C0F26">
      <w:pPr>
        <w:spacing w:line="276" w:lineRule="auto"/>
        <w:jc w:val="both"/>
        <w:rPr>
          <w:rFonts w:ascii="Times New Roman" w:hAnsi="Times New Roman" w:cs="Times New Roman"/>
          <w:sz w:val="24"/>
          <w:szCs w:val="24"/>
          <w:lang w:val="sq-AL"/>
        </w:rPr>
      </w:pPr>
    </w:p>
    <w:p w14:paraId="0D118F22" w14:textId="6D053CE5" w:rsidR="00FB4303" w:rsidRPr="00991BFE" w:rsidRDefault="00F445B5" w:rsidP="007C0F2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Tabela e </w:t>
      </w:r>
      <w:r w:rsidR="00207E5D" w:rsidRPr="00991BFE">
        <w:rPr>
          <w:rFonts w:ascii="Times New Roman" w:hAnsi="Times New Roman" w:cs="Times New Roman"/>
          <w:sz w:val="24"/>
          <w:szCs w:val="24"/>
          <w:lang w:val="sq-AL"/>
        </w:rPr>
        <w:t>mësipërme</w:t>
      </w:r>
      <w:r w:rsidRPr="00991BFE">
        <w:rPr>
          <w:rFonts w:ascii="Times New Roman" w:hAnsi="Times New Roman" w:cs="Times New Roman"/>
          <w:sz w:val="24"/>
          <w:szCs w:val="24"/>
          <w:lang w:val="sq-AL"/>
        </w:rPr>
        <w:t xml:space="preserve"> tregon </w:t>
      </w:r>
      <w:r w:rsidR="00852263" w:rsidRPr="00991BFE">
        <w:rPr>
          <w:rFonts w:ascii="Times New Roman" w:hAnsi="Times New Roman" w:cs="Times New Roman"/>
          <w:sz w:val="24"/>
          <w:szCs w:val="24"/>
          <w:lang w:val="sq-AL"/>
        </w:rPr>
        <w:t>7</w:t>
      </w:r>
      <w:r w:rsidR="00FB4303" w:rsidRPr="00991BFE">
        <w:rPr>
          <w:rFonts w:ascii="Times New Roman" w:hAnsi="Times New Roman" w:cs="Times New Roman"/>
          <w:sz w:val="24"/>
          <w:szCs w:val="24"/>
          <w:lang w:val="sq-AL"/>
        </w:rPr>
        <w:t xml:space="preserve"> (</w:t>
      </w:r>
      <w:r w:rsidR="00852263" w:rsidRPr="00991BFE">
        <w:rPr>
          <w:rFonts w:ascii="Times New Roman" w:hAnsi="Times New Roman" w:cs="Times New Roman"/>
          <w:i/>
          <w:sz w:val="24"/>
          <w:szCs w:val="24"/>
          <w:lang w:val="sq-AL"/>
        </w:rPr>
        <w:t>shtatë</w:t>
      </w:r>
      <w:r w:rsidR="00FB4303" w:rsidRPr="00991BFE">
        <w:rPr>
          <w:rFonts w:ascii="Times New Roman" w:hAnsi="Times New Roman" w:cs="Times New Roman"/>
          <w:sz w:val="24"/>
          <w:szCs w:val="24"/>
          <w:lang w:val="sq-AL"/>
        </w:rPr>
        <w:t xml:space="preserve">) </w:t>
      </w:r>
      <w:r w:rsidR="00207E5D" w:rsidRPr="00991BFE">
        <w:rPr>
          <w:rFonts w:ascii="Times New Roman" w:hAnsi="Times New Roman" w:cs="Times New Roman"/>
          <w:sz w:val="24"/>
          <w:szCs w:val="24"/>
          <w:lang w:val="sq-AL"/>
        </w:rPr>
        <w:t>kategoritë</w:t>
      </w:r>
      <w:r w:rsidRPr="00991BFE">
        <w:rPr>
          <w:rFonts w:ascii="Times New Roman" w:hAnsi="Times New Roman" w:cs="Times New Roman"/>
          <w:sz w:val="24"/>
          <w:szCs w:val="24"/>
          <w:lang w:val="sq-AL"/>
        </w:rPr>
        <w:t xml:space="preserve"> e bashkive, së bashku me zbritjen maksimale që do të aplikohet n</w:t>
      </w:r>
      <w:r w:rsidR="00207E5D" w:rsidRPr="00991BFE">
        <w:rPr>
          <w:rFonts w:ascii="Times New Roman" w:hAnsi="Times New Roman" w:cs="Times New Roman"/>
          <w:sz w:val="24"/>
          <w:szCs w:val="24"/>
          <w:lang w:val="sq-AL"/>
        </w:rPr>
        <w:t>ë ato bashki. Siç edhe mund t</w:t>
      </w:r>
      <w:r w:rsidR="002D0633"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 xml:space="preserve"> evidentohet leht</w:t>
      </w:r>
      <w:r w:rsidR="002D0633"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sisht</w:t>
      </w:r>
      <w:r w:rsidR="00B668E1" w:rsidRPr="00991BFE">
        <w:rPr>
          <w:rFonts w:ascii="Times New Roman" w:hAnsi="Times New Roman" w:cs="Times New Roman"/>
          <w:sz w:val="24"/>
          <w:szCs w:val="24"/>
          <w:lang w:val="sq-AL"/>
        </w:rPr>
        <w:t>, pragu maksimal i zbritjes</w:t>
      </w:r>
      <w:r w:rsidRPr="00991BFE">
        <w:rPr>
          <w:rFonts w:ascii="Times New Roman" w:hAnsi="Times New Roman" w:cs="Times New Roman"/>
          <w:sz w:val="24"/>
          <w:szCs w:val="24"/>
          <w:lang w:val="sq-AL"/>
        </w:rPr>
        <w:t xml:space="preserve"> në bashkinë e Tiranës që ka vlerat më të larta</w:t>
      </w:r>
      <w:r w:rsidR="007E32E2" w:rsidRPr="00991BFE">
        <w:rPr>
          <w:rFonts w:ascii="Times New Roman" w:hAnsi="Times New Roman" w:cs="Times New Roman"/>
          <w:sz w:val="24"/>
          <w:szCs w:val="24"/>
          <w:lang w:val="sq-AL"/>
        </w:rPr>
        <w:t xml:space="preserve"> të banesa</w:t>
      </w:r>
      <w:r w:rsidR="001309C9" w:rsidRPr="00991BFE">
        <w:rPr>
          <w:rFonts w:ascii="Times New Roman" w:hAnsi="Times New Roman" w:cs="Times New Roman"/>
          <w:sz w:val="24"/>
          <w:szCs w:val="24"/>
          <w:lang w:val="sq-AL"/>
        </w:rPr>
        <w:t>ve</w:t>
      </w:r>
      <w:r w:rsidRPr="00991BFE">
        <w:rPr>
          <w:rFonts w:ascii="Times New Roman" w:hAnsi="Times New Roman" w:cs="Times New Roman"/>
          <w:sz w:val="24"/>
          <w:szCs w:val="24"/>
          <w:lang w:val="sq-AL"/>
        </w:rPr>
        <w:t xml:space="preserve"> në </w:t>
      </w:r>
      <w:r w:rsidR="00B668E1" w:rsidRPr="00991BFE">
        <w:rPr>
          <w:rFonts w:ascii="Times New Roman" w:hAnsi="Times New Roman" w:cs="Times New Roman"/>
          <w:sz w:val="24"/>
          <w:szCs w:val="24"/>
          <w:lang w:val="sq-AL"/>
        </w:rPr>
        <w:t xml:space="preserve">vend </w:t>
      </w:r>
      <w:r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 xml:space="preserve">shtë </w:t>
      </w:r>
      <w:r w:rsidR="0065307C">
        <w:rPr>
          <w:rFonts w:ascii="Times New Roman" w:hAnsi="Times New Roman" w:cs="Times New Roman"/>
          <w:i/>
          <w:sz w:val="24"/>
          <w:szCs w:val="24"/>
          <w:lang w:val="sq-AL"/>
        </w:rPr>
        <w:t>8</w:t>
      </w:r>
      <w:r w:rsidR="00FB4303" w:rsidRPr="00991BFE">
        <w:rPr>
          <w:rFonts w:ascii="Times New Roman" w:hAnsi="Times New Roman" w:cs="Times New Roman"/>
          <w:i/>
          <w:sz w:val="24"/>
          <w:szCs w:val="24"/>
          <w:lang w:val="sq-AL"/>
        </w:rPr>
        <w:t>,</w:t>
      </w:r>
      <w:r w:rsidR="0065307C">
        <w:rPr>
          <w:rFonts w:ascii="Times New Roman" w:hAnsi="Times New Roman" w:cs="Times New Roman"/>
          <w:i/>
          <w:sz w:val="24"/>
          <w:szCs w:val="24"/>
          <w:lang w:val="sq-AL"/>
        </w:rPr>
        <w:t>40</w:t>
      </w:r>
      <w:r w:rsidR="00FB4303" w:rsidRPr="00991BFE">
        <w:rPr>
          <w:rFonts w:ascii="Times New Roman" w:hAnsi="Times New Roman" w:cs="Times New Roman"/>
          <w:i/>
          <w:sz w:val="24"/>
          <w:szCs w:val="24"/>
          <w:lang w:val="sq-AL"/>
        </w:rPr>
        <w:t>0,000 lekë</w:t>
      </w:r>
      <w:r w:rsidR="00207E5D" w:rsidRPr="00991BFE">
        <w:rPr>
          <w:rFonts w:ascii="Times New Roman" w:hAnsi="Times New Roman" w:cs="Times New Roman"/>
          <w:sz w:val="24"/>
          <w:szCs w:val="24"/>
          <w:lang w:val="sq-AL"/>
        </w:rPr>
        <w:t>, p</w:t>
      </w:r>
      <w:r w:rsidR="002D0633"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r bashkit</w:t>
      </w:r>
      <w:r w:rsidR="002D0633"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 xml:space="preserve"> n</w:t>
      </w:r>
      <w:r w:rsidR="002D0633"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 xml:space="preserve"> kategorin</w:t>
      </w:r>
      <w:r w:rsidR="002D0633"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 xml:space="preserve"> e dyt</w:t>
      </w:r>
      <w:r w:rsidR="002D0633" w:rsidRPr="00991BFE">
        <w:rPr>
          <w:rFonts w:ascii="Times New Roman" w:hAnsi="Times New Roman" w:cs="Times New Roman"/>
          <w:sz w:val="24"/>
          <w:szCs w:val="24"/>
          <w:lang w:val="sq-AL"/>
        </w:rPr>
        <w:t>ë</w:t>
      </w:r>
      <w:r w:rsidR="00207E5D" w:rsidRPr="00991BFE">
        <w:rPr>
          <w:rFonts w:ascii="Times New Roman" w:hAnsi="Times New Roman" w:cs="Times New Roman"/>
          <w:sz w:val="24"/>
          <w:szCs w:val="24"/>
          <w:lang w:val="sq-AL"/>
        </w:rPr>
        <w:t xml:space="preserve"> </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FB4303" w:rsidRPr="00991BFE">
        <w:rPr>
          <w:rFonts w:ascii="Times New Roman" w:hAnsi="Times New Roman" w:cs="Times New Roman"/>
          <w:i/>
          <w:sz w:val="24"/>
          <w:szCs w:val="24"/>
          <w:lang w:val="sq-AL"/>
        </w:rPr>
        <w:t>4,</w:t>
      </w:r>
      <w:r w:rsidR="0065307C">
        <w:rPr>
          <w:rFonts w:ascii="Times New Roman" w:hAnsi="Times New Roman" w:cs="Times New Roman"/>
          <w:i/>
          <w:sz w:val="24"/>
          <w:szCs w:val="24"/>
          <w:lang w:val="sq-AL"/>
        </w:rPr>
        <w:t>75</w:t>
      </w:r>
      <w:r w:rsidR="00FB4303" w:rsidRPr="00991BFE">
        <w:rPr>
          <w:rFonts w:ascii="Times New Roman" w:hAnsi="Times New Roman" w:cs="Times New Roman"/>
          <w:i/>
          <w:sz w:val="24"/>
          <w:szCs w:val="24"/>
          <w:lang w:val="sq-AL"/>
        </w:rPr>
        <w:t>0,000 lekë</w:t>
      </w:r>
      <w:r w:rsidR="00FB4303" w:rsidRPr="00991BFE">
        <w:rPr>
          <w:rFonts w:ascii="Times New Roman" w:hAnsi="Times New Roman" w:cs="Times New Roman"/>
          <w:sz w:val="24"/>
          <w:szCs w:val="24"/>
          <w:lang w:val="sq-AL"/>
        </w:rPr>
        <w:t>, për bashkitë në kategorinë e tret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FB4303" w:rsidRPr="00991BFE">
        <w:rPr>
          <w:rFonts w:ascii="Times New Roman" w:hAnsi="Times New Roman" w:cs="Times New Roman"/>
          <w:i/>
          <w:sz w:val="24"/>
          <w:szCs w:val="24"/>
          <w:lang w:val="sq-AL"/>
        </w:rPr>
        <w:t>3,</w:t>
      </w:r>
      <w:r w:rsidR="0065307C">
        <w:rPr>
          <w:rFonts w:ascii="Times New Roman" w:hAnsi="Times New Roman" w:cs="Times New Roman"/>
          <w:i/>
          <w:sz w:val="24"/>
          <w:szCs w:val="24"/>
          <w:lang w:val="sq-AL"/>
        </w:rPr>
        <w:t>55</w:t>
      </w:r>
      <w:r w:rsidR="00FB4303" w:rsidRPr="00991BFE">
        <w:rPr>
          <w:rFonts w:ascii="Times New Roman" w:hAnsi="Times New Roman" w:cs="Times New Roman"/>
          <w:i/>
          <w:sz w:val="24"/>
          <w:szCs w:val="24"/>
          <w:lang w:val="sq-AL"/>
        </w:rPr>
        <w:t>0,000 lekë</w:t>
      </w:r>
      <w:r w:rsidR="00FB4303" w:rsidRPr="00991BFE">
        <w:rPr>
          <w:rFonts w:ascii="Times New Roman" w:hAnsi="Times New Roman" w:cs="Times New Roman"/>
          <w:sz w:val="24"/>
          <w:szCs w:val="24"/>
          <w:lang w:val="sq-AL"/>
        </w:rPr>
        <w:t>, për bashkitë në kategorinë e kat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rt </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FB4303" w:rsidRPr="00991BFE">
        <w:rPr>
          <w:rFonts w:ascii="Times New Roman" w:hAnsi="Times New Roman" w:cs="Times New Roman"/>
          <w:i/>
          <w:sz w:val="24"/>
          <w:szCs w:val="24"/>
          <w:lang w:val="sq-AL"/>
        </w:rPr>
        <w:t>2,</w:t>
      </w:r>
      <w:r w:rsidR="0065307C">
        <w:rPr>
          <w:rFonts w:ascii="Times New Roman" w:hAnsi="Times New Roman" w:cs="Times New Roman"/>
          <w:i/>
          <w:sz w:val="24"/>
          <w:szCs w:val="24"/>
          <w:lang w:val="sq-AL"/>
        </w:rPr>
        <w:t>8</w:t>
      </w:r>
      <w:r w:rsidR="00FB4303" w:rsidRPr="00991BFE">
        <w:rPr>
          <w:rFonts w:ascii="Times New Roman" w:hAnsi="Times New Roman" w:cs="Times New Roman"/>
          <w:i/>
          <w:sz w:val="24"/>
          <w:szCs w:val="24"/>
          <w:lang w:val="sq-AL"/>
        </w:rPr>
        <w:t>00,000 lekë</w:t>
      </w:r>
      <w:r w:rsidR="00FB4303" w:rsidRPr="00991BFE">
        <w:rPr>
          <w:rFonts w:ascii="Times New Roman" w:hAnsi="Times New Roman" w:cs="Times New Roman"/>
          <w:sz w:val="24"/>
          <w:szCs w:val="24"/>
          <w:lang w:val="sq-AL"/>
        </w:rPr>
        <w:t>, për bashkitë në kategorinë e pest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65307C">
        <w:rPr>
          <w:rFonts w:ascii="Times New Roman" w:hAnsi="Times New Roman" w:cs="Times New Roman"/>
          <w:i/>
          <w:sz w:val="24"/>
          <w:szCs w:val="24"/>
          <w:lang w:val="sq-AL"/>
        </w:rPr>
        <w:t>2</w:t>
      </w:r>
      <w:r w:rsidR="00FB4303" w:rsidRPr="00991BFE">
        <w:rPr>
          <w:rFonts w:ascii="Times New Roman" w:hAnsi="Times New Roman" w:cs="Times New Roman"/>
          <w:i/>
          <w:sz w:val="24"/>
          <w:szCs w:val="24"/>
          <w:lang w:val="sq-AL"/>
        </w:rPr>
        <w:t>,</w:t>
      </w:r>
      <w:r w:rsidR="0065307C">
        <w:rPr>
          <w:rFonts w:ascii="Times New Roman" w:hAnsi="Times New Roman" w:cs="Times New Roman"/>
          <w:i/>
          <w:sz w:val="24"/>
          <w:szCs w:val="24"/>
          <w:lang w:val="sq-AL"/>
        </w:rPr>
        <w:t>0</w:t>
      </w:r>
      <w:r w:rsidR="00FB4303" w:rsidRPr="00991BFE">
        <w:rPr>
          <w:rFonts w:ascii="Times New Roman" w:hAnsi="Times New Roman" w:cs="Times New Roman"/>
          <w:i/>
          <w:sz w:val="24"/>
          <w:szCs w:val="24"/>
          <w:lang w:val="sq-AL"/>
        </w:rPr>
        <w:t>50,000 lekë</w:t>
      </w:r>
      <w:r w:rsidR="00FB4303" w:rsidRPr="00991BFE">
        <w:rPr>
          <w:rFonts w:ascii="Times New Roman" w:hAnsi="Times New Roman" w:cs="Times New Roman"/>
          <w:sz w:val="24"/>
          <w:szCs w:val="24"/>
          <w:lang w:val="sq-AL"/>
        </w:rPr>
        <w:t>, për bashkitë në kategorinë e gjasht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1</w:t>
      </w:r>
      <w:r w:rsidR="00FB4303" w:rsidRPr="00991BFE">
        <w:rPr>
          <w:rFonts w:ascii="Times New Roman" w:hAnsi="Times New Roman" w:cs="Times New Roman"/>
          <w:i/>
          <w:sz w:val="24"/>
          <w:szCs w:val="24"/>
          <w:lang w:val="sq-AL"/>
        </w:rPr>
        <w:t>,</w:t>
      </w:r>
      <w:r w:rsidR="0065307C">
        <w:rPr>
          <w:rFonts w:ascii="Times New Roman" w:hAnsi="Times New Roman" w:cs="Times New Roman"/>
          <w:i/>
          <w:sz w:val="24"/>
          <w:szCs w:val="24"/>
          <w:lang w:val="sq-AL"/>
        </w:rPr>
        <w:t>4</w:t>
      </w:r>
      <w:r w:rsidR="00FB4303" w:rsidRPr="00991BFE">
        <w:rPr>
          <w:rFonts w:ascii="Times New Roman" w:hAnsi="Times New Roman" w:cs="Times New Roman"/>
          <w:i/>
          <w:sz w:val="24"/>
          <w:szCs w:val="24"/>
          <w:lang w:val="sq-AL"/>
        </w:rPr>
        <w:t>50,000 lekë</w:t>
      </w:r>
      <w:r w:rsidR="00FB4303" w:rsidRPr="00991BFE">
        <w:rPr>
          <w:rFonts w:ascii="Times New Roman" w:hAnsi="Times New Roman" w:cs="Times New Roman"/>
          <w:sz w:val="24"/>
          <w:szCs w:val="24"/>
          <w:lang w:val="sq-AL"/>
        </w:rPr>
        <w:t xml:space="preserve"> dhe për bashkitë në kategorinë e shtat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00FB4303" w:rsidRPr="00991BFE">
        <w:rPr>
          <w:rFonts w:ascii="Times New Roman" w:hAnsi="Times New Roman" w:cs="Times New Roman"/>
          <w:sz w:val="24"/>
          <w:szCs w:val="24"/>
          <w:lang w:val="sq-AL"/>
        </w:rPr>
        <w:t xml:space="preserve"> </w:t>
      </w:r>
      <w:r w:rsidR="0065307C">
        <w:rPr>
          <w:rFonts w:ascii="Times New Roman" w:hAnsi="Times New Roman" w:cs="Times New Roman"/>
          <w:i/>
          <w:sz w:val="24"/>
          <w:szCs w:val="24"/>
          <w:lang w:val="sq-AL"/>
        </w:rPr>
        <w:t>7</w:t>
      </w:r>
      <w:r w:rsidR="00FB4303" w:rsidRPr="00991BFE">
        <w:rPr>
          <w:rFonts w:ascii="Times New Roman" w:hAnsi="Times New Roman" w:cs="Times New Roman"/>
          <w:i/>
          <w:sz w:val="24"/>
          <w:szCs w:val="24"/>
          <w:lang w:val="sq-AL"/>
        </w:rPr>
        <w:t>50,000 lekë</w:t>
      </w:r>
      <w:r w:rsidR="00FB4303" w:rsidRPr="00991BFE">
        <w:rPr>
          <w:rFonts w:ascii="Times New Roman" w:hAnsi="Times New Roman" w:cs="Times New Roman"/>
          <w:sz w:val="24"/>
          <w:szCs w:val="24"/>
          <w:lang w:val="sq-AL"/>
        </w:rPr>
        <w:t>.</w:t>
      </w:r>
    </w:p>
    <w:p w14:paraId="1CFF0986" w14:textId="13D78DB3" w:rsidR="00207E5D" w:rsidRPr="00991BFE" w:rsidRDefault="00A93EB6" w:rsidP="007C0F2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 xml:space="preserve">Përveç kësaj, </w:t>
      </w:r>
      <w:r w:rsidR="00104E04" w:rsidRPr="00991BFE">
        <w:rPr>
          <w:rFonts w:ascii="Times New Roman" w:hAnsi="Times New Roman" w:cs="Times New Roman"/>
          <w:sz w:val="24"/>
          <w:szCs w:val="24"/>
          <w:lang w:val="sq-AL"/>
        </w:rPr>
        <w:t>Këshilli</w:t>
      </w:r>
      <w:r w:rsidR="002C57A9" w:rsidRPr="00991BFE">
        <w:rPr>
          <w:rFonts w:ascii="Times New Roman" w:hAnsi="Times New Roman" w:cs="Times New Roman"/>
          <w:sz w:val="24"/>
          <w:szCs w:val="24"/>
          <w:lang w:val="sq-AL"/>
        </w:rPr>
        <w:t xml:space="preserve"> Bashkiak </w:t>
      </w:r>
      <w:r w:rsidRPr="00991BFE">
        <w:rPr>
          <w:rFonts w:ascii="Times New Roman" w:hAnsi="Times New Roman" w:cs="Times New Roman"/>
          <w:sz w:val="24"/>
          <w:szCs w:val="24"/>
          <w:lang w:val="sq-AL"/>
        </w:rPr>
        <w:t xml:space="preserve">do ketë të drejtën </w:t>
      </w:r>
      <w:r w:rsidR="00104E04" w:rsidRPr="00991BFE">
        <w:rPr>
          <w:rFonts w:ascii="Times New Roman" w:hAnsi="Times New Roman" w:cs="Times New Roman"/>
          <w:sz w:val="24"/>
          <w:szCs w:val="24"/>
          <w:lang w:val="sq-AL"/>
        </w:rPr>
        <w:t>të rrisë deri në njëzet përqind</w:t>
      </w:r>
      <w:r w:rsidR="002C57A9"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 xml:space="preserve">me anë të </w:t>
      </w:r>
      <w:r w:rsidR="002C57A9" w:rsidRPr="00991BFE">
        <w:rPr>
          <w:rFonts w:ascii="Times New Roman" w:hAnsi="Times New Roman" w:cs="Times New Roman"/>
          <w:sz w:val="24"/>
          <w:szCs w:val="24"/>
          <w:lang w:val="sq-AL"/>
        </w:rPr>
        <w:t>një vendimi të arsyetuar, pragun maksimal të zbri</w:t>
      </w:r>
      <w:r w:rsidRPr="00991BFE">
        <w:rPr>
          <w:rFonts w:ascii="Times New Roman" w:hAnsi="Times New Roman" w:cs="Times New Roman"/>
          <w:sz w:val="24"/>
          <w:szCs w:val="24"/>
          <w:lang w:val="sq-AL"/>
        </w:rPr>
        <w:t xml:space="preserve">tjes së përcaktuar në shtojcën </w:t>
      </w:r>
      <w:r w:rsidR="00104E04" w:rsidRPr="00991BFE">
        <w:rPr>
          <w:rFonts w:ascii="Times New Roman" w:hAnsi="Times New Roman" w:cs="Times New Roman"/>
          <w:sz w:val="24"/>
          <w:szCs w:val="24"/>
          <w:lang w:val="sq-AL"/>
        </w:rPr>
        <w:t xml:space="preserve">1, </w:t>
      </w:r>
      <w:r w:rsidR="002C57A9" w:rsidRPr="00991BFE">
        <w:rPr>
          <w:rFonts w:ascii="Times New Roman" w:hAnsi="Times New Roman" w:cs="Times New Roman"/>
          <w:sz w:val="24"/>
          <w:szCs w:val="24"/>
          <w:lang w:val="sq-AL"/>
        </w:rPr>
        <w:t xml:space="preserve">të </w:t>
      </w:r>
      <w:r w:rsidR="00B029A5" w:rsidRPr="00991BFE">
        <w:rPr>
          <w:rFonts w:ascii="Times New Roman" w:hAnsi="Times New Roman" w:cs="Times New Roman"/>
          <w:sz w:val="24"/>
          <w:szCs w:val="24"/>
          <w:lang w:val="sq-AL"/>
        </w:rPr>
        <w:t>projek</w:t>
      </w:r>
      <w:r w:rsidRPr="00991BFE">
        <w:rPr>
          <w:rFonts w:ascii="Times New Roman" w:hAnsi="Times New Roman" w:cs="Times New Roman"/>
          <w:sz w:val="24"/>
          <w:szCs w:val="24"/>
          <w:lang w:val="sq-AL"/>
        </w:rPr>
        <w:t>t</w:t>
      </w:r>
      <w:r w:rsidR="002C57A9" w:rsidRPr="00991BFE">
        <w:rPr>
          <w:rFonts w:ascii="Times New Roman" w:hAnsi="Times New Roman" w:cs="Times New Roman"/>
          <w:sz w:val="24"/>
          <w:szCs w:val="24"/>
          <w:lang w:val="sq-AL"/>
        </w:rPr>
        <w:t xml:space="preserve">ligjit. Mekanizëm ky që mund të përdoret nga bashkitë, </w:t>
      </w:r>
      <w:r w:rsidR="00DC045D" w:rsidRPr="00DC045D">
        <w:rPr>
          <w:rFonts w:ascii="Times New Roman" w:hAnsi="Times New Roman" w:cs="Times New Roman"/>
          <w:sz w:val="24"/>
          <w:szCs w:val="24"/>
          <w:lang w:val="sq-AL"/>
        </w:rPr>
        <w:t>vetëm në rastet kur kjo rritje justifikohet nga rrethana të veçanta, me qëllim zbutjen e efekteve të menjëhershme të rritjes së taksës si pasojë e ndryshimeve të pazakonta të vlerave të banesave</w:t>
      </w:r>
      <w:r w:rsidR="00DC045D">
        <w:rPr>
          <w:rFonts w:ascii="Times New Roman" w:hAnsi="Times New Roman" w:cs="Times New Roman"/>
          <w:sz w:val="24"/>
          <w:szCs w:val="24"/>
          <w:lang w:val="sq-AL"/>
        </w:rPr>
        <w:t>.</w:t>
      </w:r>
      <w:r w:rsidR="002C57A9" w:rsidRPr="00991BFE">
        <w:rPr>
          <w:rFonts w:ascii="Times New Roman" w:hAnsi="Times New Roman" w:cs="Times New Roman"/>
          <w:sz w:val="24"/>
          <w:szCs w:val="24"/>
          <w:lang w:val="sq-AL"/>
        </w:rPr>
        <w:t xml:space="preserve"> Kjo e drejtë ka rezultuar të jetë një</w:t>
      </w:r>
      <w:r w:rsidRPr="00991BFE">
        <w:rPr>
          <w:rFonts w:ascii="Times New Roman" w:hAnsi="Times New Roman" w:cs="Times New Roman"/>
          <w:sz w:val="24"/>
          <w:szCs w:val="24"/>
          <w:lang w:val="sq-AL"/>
        </w:rPr>
        <w:t xml:space="preserve"> instrument i dobishëm në vende të tjera</w:t>
      </w:r>
      <w:r w:rsidR="002C57A9" w:rsidRPr="00991BFE">
        <w:rPr>
          <w:rFonts w:ascii="Times New Roman" w:hAnsi="Times New Roman" w:cs="Times New Roman"/>
          <w:sz w:val="24"/>
          <w:szCs w:val="24"/>
          <w:lang w:val="sq-AL"/>
        </w:rPr>
        <w:t xml:space="preserve"> ku aplikohet, për të amortizuar rritjen e menjëhershme të taksës gjatë periudhave të rritjes së ndjeshme të vlerave të banesave</w:t>
      </w:r>
      <w:r w:rsidR="00104E04" w:rsidRPr="00991BFE">
        <w:rPr>
          <w:rFonts w:ascii="Times New Roman" w:hAnsi="Times New Roman" w:cs="Times New Roman"/>
          <w:sz w:val="24"/>
          <w:szCs w:val="24"/>
          <w:lang w:val="sq-AL"/>
        </w:rPr>
        <w:t>,</w:t>
      </w:r>
      <w:r w:rsidR="002C57A9" w:rsidRPr="00991BFE">
        <w:rPr>
          <w:rFonts w:ascii="Times New Roman" w:hAnsi="Times New Roman" w:cs="Times New Roman"/>
          <w:sz w:val="24"/>
          <w:szCs w:val="24"/>
          <w:lang w:val="sq-AL"/>
        </w:rPr>
        <w:t xml:space="preserve"> për shkak të spekulimeve të tregut.</w:t>
      </w:r>
    </w:p>
    <w:p w14:paraId="7F1D0F40" w14:textId="77777777" w:rsidR="00F445B5" w:rsidRPr="00991BFE" w:rsidRDefault="009E3E55" w:rsidP="007C0F2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Përfshirja në projektligj e një praktike të mirë ndërkomb</w:t>
      </w:r>
      <w:r w:rsidR="00F445B5" w:rsidRPr="00991BFE">
        <w:rPr>
          <w:rFonts w:ascii="Times New Roman" w:hAnsi="Times New Roman" w:cs="Times New Roman"/>
          <w:sz w:val="24"/>
          <w:szCs w:val="24"/>
          <w:lang w:val="sq-AL"/>
        </w:rPr>
        <w:t xml:space="preserve">ëtare si zbritja nga vlera e </w:t>
      </w:r>
      <w:r w:rsidR="00B668E1" w:rsidRPr="00991BFE">
        <w:rPr>
          <w:rFonts w:ascii="Times New Roman" w:hAnsi="Times New Roman" w:cs="Times New Roman"/>
          <w:sz w:val="24"/>
          <w:szCs w:val="24"/>
          <w:lang w:val="sq-AL"/>
        </w:rPr>
        <w:t>banesës</w:t>
      </w:r>
      <w:r w:rsidR="00F445B5" w:rsidRPr="00991BFE">
        <w:rPr>
          <w:rFonts w:ascii="Times New Roman" w:hAnsi="Times New Roman" w:cs="Times New Roman"/>
          <w:sz w:val="24"/>
          <w:szCs w:val="24"/>
          <w:lang w:val="sq-AL"/>
        </w:rPr>
        <w:t xml:space="preserve"> </w:t>
      </w:r>
      <w:r w:rsidR="00B668E1" w:rsidRPr="00991BFE">
        <w:rPr>
          <w:rFonts w:ascii="Times New Roman" w:hAnsi="Times New Roman" w:cs="Times New Roman"/>
          <w:sz w:val="24"/>
          <w:szCs w:val="24"/>
          <w:lang w:val="sq-AL"/>
        </w:rPr>
        <w:t>së</w:t>
      </w:r>
      <w:r w:rsidRPr="00991BFE">
        <w:rPr>
          <w:rFonts w:ascii="Times New Roman" w:hAnsi="Times New Roman" w:cs="Times New Roman"/>
          <w:sz w:val="24"/>
          <w:szCs w:val="24"/>
          <w:lang w:val="sq-AL"/>
        </w:rPr>
        <w:t xml:space="preserve"> par</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w:t>
      </w:r>
      <w:r w:rsidR="00F445B5" w:rsidRPr="00991BFE">
        <w:rPr>
          <w:rFonts w:ascii="Times New Roman" w:hAnsi="Times New Roman" w:cs="Times New Roman"/>
          <w:sz w:val="24"/>
          <w:szCs w:val="24"/>
          <w:lang w:val="sq-AL"/>
        </w:rPr>
        <w:t xml:space="preserve"> n</w:t>
      </w:r>
      <w:r w:rsidR="002D0633" w:rsidRPr="00991BFE">
        <w:rPr>
          <w:rFonts w:ascii="Times New Roman" w:hAnsi="Times New Roman" w:cs="Times New Roman"/>
          <w:sz w:val="24"/>
          <w:szCs w:val="24"/>
          <w:lang w:val="sq-AL"/>
        </w:rPr>
        <w:t>ë</w:t>
      </w:r>
      <w:r w:rsidR="00F445B5" w:rsidRPr="00991BFE">
        <w:rPr>
          <w:rFonts w:ascii="Times New Roman" w:hAnsi="Times New Roman" w:cs="Times New Roman"/>
          <w:sz w:val="24"/>
          <w:szCs w:val="24"/>
          <w:lang w:val="sq-AL"/>
        </w:rPr>
        <w:t>n t</w:t>
      </w:r>
      <w:r w:rsidR="002D0633" w:rsidRPr="00991BFE">
        <w:rPr>
          <w:rFonts w:ascii="Times New Roman" w:hAnsi="Times New Roman" w:cs="Times New Roman"/>
          <w:sz w:val="24"/>
          <w:szCs w:val="24"/>
          <w:lang w:val="sq-AL"/>
        </w:rPr>
        <w:t>ë</w:t>
      </w:r>
      <w:r w:rsidR="00F445B5" w:rsidRPr="00991BFE">
        <w:rPr>
          <w:rFonts w:ascii="Times New Roman" w:hAnsi="Times New Roman" w:cs="Times New Roman"/>
          <w:sz w:val="24"/>
          <w:szCs w:val="24"/>
          <w:lang w:val="sq-AL"/>
        </w:rPr>
        <w:t xml:space="preserve"> cil</w:t>
      </w:r>
      <w:r w:rsidR="002D0633" w:rsidRPr="00991BFE">
        <w:rPr>
          <w:rFonts w:ascii="Times New Roman" w:hAnsi="Times New Roman" w:cs="Times New Roman"/>
          <w:sz w:val="24"/>
          <w:szCs w:val="24"/>
          <w:lang w:val="sq-AL"/>
        </w:rPr>
        <w:t>ë</w:t>
      </w:r>
      <w:r w:rsidR="00F445B5" w:rsidRPr="00991BFE">
        <w:rPr>
          <w:rFonts w:ascii="Times New Roman" w:hAnsi="Times New Roman" w:cs="Times New Roman"/>
          <w:sz w:val="24"/>
          <w:szCs w:val="24"/>
          <w:lang w:val="sq-AL"/>
        </w:rPr>
        <w:t xml:space="preserve">n detyrimi tatimor </w:t>
      </w:r>
      <w:r w:rsidR="002D0633" w:rsidRPr="00991BFE">
        <w:rPr>
          <w:rFonts w:ascii="Times New Roman" w:hAnsi="Times New Roman" w:cs="Times New Roman"/>
          <w:sz w:val="24"/>
          <w:szCs w:val="24"/>
          <w:lang w:val="sq-AL"/>
        </w:rPr>
        <w:t>ë</w:t>
      </w:r>
      <w:r w:rsidR="00F445B5" w:rsidRPr="00991BFE">
        <w:rPr>
          <w:rFonts w:ascii="Times New Roman" w:hAnsi="Times New Roman" w:cs="Times New Roman"/>
          <w:sz w:val="24"/>
          <w:szCs w:val="24"/>
          <w:lang w:val="sq-AL"/>
        </w:rPr>
        <w:t>sht</w:t>
      </w:r>
      <w:r w:rsidR="002D0633" w:rsidRPr="00991BFE">
        <w:rPr>
          <w:rFonts w:ascii="Times New Roman" w:hAnsi="Times New Roman" w:cs="Times New Roman"/>
          <w:sz w:val="24"/>
          <w:szCs w:val="24"/>
          <w:lang w:val="sq-AL"/>
        </w:rPr>
        <w:t>ë</w:t>
      </w:r>
      <w:r w:rsidR="00F445B5" w:rsidRPr="00991BFE">
        <w:rPr>
          <w:rFonts w:ascii="Times New Roman" w:hAnsi="Times New Roman" w:cs="Times New Roman"/>
          <w:sz w:val="24"/>
          <w:szCs w:val="24"/>
          <w:lang w:val="sq-AL"/>
        </w:rPr>
        <w:t xml:space="preserve"> zero, ka disa p</w:t>
      </w:r>
      <w:r w:rsidR="002D0633" w:rsidRPr="00991BFE">
        <w:rPr>
          <w:rFonts w:ascii="Times New Roman" w:hAnsi="Times New Roman" w:cs="Times New Roman"/>
          <w:sz w:val="24"/>
          <w:szCs w:val="24"/>
          <w:lang w:val="sq-AL"/>
        </w:rPr>
        <w:t>ë</w:t>
      </w:r>
      <w:r w:rsidR="00F445B5" w:rsidRPr="00991BFE">
        <w:rPr>
          <w:rFonts w:ascii="Times New Roman" w:hAnsi="Times New Roman" w:cs="Times New Roman"/>
          <w:sz w:val="24"/>
          <w:szCs w:val="24"/>
          <w:lang w:val="sq-AL"/>
        </w:rPr>
        <w:t>rfitime:</w:t>
      </w:r>
    </w:p>
    <w:p w14:paraId="18DF0596" w14:textId="0D5EADBB" w:rsidR="00F445B5" w:rsidRPr="00991BFE" w:rsidRDefault="00F445B5" w:rsidP="00F445B5">
      <w:pPr>
        <w:pStyle w:val="ListParagraph"/>
        <w:numPr>
          <w:ilvl w:val="0"/>
          <w:numId w:val="17"/>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Do t</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ndihmoj</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w:t>
      </w:r>
      <w:r w:rsidR="009E3E55" w:rsidRPr="00991BFE">
        <w:rPr>
          <w:rFonts w:ascii="Times New Roman" w:hAnsi="Times New Roman" w:cs="Times New Roman"/>
          <w:sz w:val="24"/>
          <w:szCs w:val="24"/>
          <w:lang w:val="sq-AL"/>
        </w:rPr>
        <w:t xml:space="preserve">në reduktimin e barrës tatimore për </w:t>
      </w:r>
      <w:r w:rsidRPr="00991BFE">
        <w:rPr>
          <w:rFonts w:ascii="Times New Roman" w:hAnsi="Times New Roman" w:cs="Times New Roman"/>
          <w:sz w:val="24"/>
          <w:szCs w:val="24"/>
          <w:lang w:val="sq-AL"/>
        </w:rPr>
        <w:t>personat me të ardhura të ulëta</w:t>
      </w:r>
      <w:r w:rsidR="00A93EB6" w:rsidRPr="00991BFE">
        <w:rPr>
          <w:rFonts w:ascii="Times New Roman" w:hAnsi="Times New Roman" w:cs="Times New Roman"/>
          <w:sz w:val="24"/>
          <w:szCs w:val="24"/>
          <w:lang w:val="sq-AL"/>
        </w:rPr>
        <w:t>,</w:t>
      </w:r>
      <w:r w:rsidRPr="00991BFE">
        <w:rPr>
          <w:rFonts w:ascii="Times New Roman" w:hAnsi="Times New Roman" w:cs="Times New Roman"/>
          <w:sz w:val="24"/>
          <w:szCs w:val="24"/>
          <w:lang w:val="sq-AL"/>
        </w:rPr>
        <w:t xml:space="preserve"> q</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tip</w:t>
      </w:r>
      <w:r w:rsidR="00B668E1" w:rsidRPr="00991BFE">
        <w:rPr>
          <w:rFonts w:ascii="Times New Roman" w:hAnsi="Times New Roman" w:cs="Times New Roman"/>
          <w:sz w:val="24"/>
          <w:szCs w:val="24"/>
          <w:lang w:val="sq-AL"/>
        </w:rPr>
        <w:t>i</w:t>
      </w:r>
      <w:r w:rsidRPr="00991BFE">
        <w:rPr>
          <w:rFonts w:ascii="Times New Roman" w:hAnsi="Times New Roman" w:cs="Times New Roman"/>
          <w:sz w:val="24"/>
          <w:szCs w:val="24"/>
          <w:lang w:val="sq-AL"/>
        </w:rPr>
        <w:t>kisht zot</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rojn</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prona me vlera jo t</w:t>
      </w:r>
      <w:r w:rsidR="002D0633" w:rsidRPr="00991BFE">
        <w:rPr>
          <w:rFonts w:ascii="Times New Roman" w:hAnsi="Times New Roman" w:cs="Times New Roman"/>
          <w:sz w:val="24"/>
          <w:szCs w:val="24"/>
          <w:lang w:val="sq-AL"/>
        </w:rPr>
        <w:t>ë</w:t>
      </w:r>
      <w:r w:rsidR="00B668E1" w:rsidRPr="00991BFE">
        <w:rPr>
          <w:rFonts w:ascii="Times New Roman" w:hAnsi="Times New Roman" w:cs="Times New Roman"/>
          <w:sz w:val="24"/>
          <w:szCs w:val="24"/>
          <w:lang w:val="sq-AL"/>
        </w:rPr>
        <w:t xml:space="preserve"> larta;</w:t>
      </w:r>
      <w:r w:rsidRPr="00991BFE">
        <w:rPr>
          <w:rFonts w:ascii="Times New Roman" w:hAnsi="Times New Roman" w:cs="Times New Roman"/>
          <w:sz w:val="24"/>
          <w:szCs w:val="24"/>
          <w:lang w:val="sq-AL"/>
        </w:rPr>
        <w:t xml:space="preserve"> </w:t>
      </w:r>
    </w:p>
    <w:p w14:paraId="3EE5FE5E" w14:textId="77777777" w:rsidR="00F445B5" w:rsidRPr="00991BFE" w:rsidRDefault="00F445B5" w:rsidP="00F445B5">
      <w:pPr>
        <w:pStyle w:val="ListParagraph"/>
        <w:spacing w:line="276" w:lineRule="auto"/>
        <w:jc w:val="both"/>
        <w:rPr>
          <w:rFonts w:ascii="Times New Roman" w:hAnsi="Times New Roman" w:cs="Times New Roman"/>
          <w:sz w:val="24"/>
          <w:szCs w:val="24"/>
          <w:lang w:val="sq-AL"/>
        </w:rPr>
      </w:pPr>
    </w:p>
    <w:p w14:paraId="267B8678" w14:textId="47630269" w:rsidR="00F445B5" w:rsidRDefault="00F445B5" w:rsidP="00FB4303">
      <w:pPr>
        <w:pStyle w:val="ListParagraph"/>
        <w:numPr>
          <w:ilvl w:val="0"/>
          <w:numId w:val="17"/>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Do ti jap</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taks</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 s</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pasuris</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nj</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element progresiviteti, duke bërë që barra tatimore të bjerë kryesisht mbi ata që kanë banesa me vlerë të lartë, dhe/ose më shumë se një banesë dhe zakon</w:t>
      </w:r>
      <w:r w:rsidR="00B668E1" w:rsidRPr="00991BFE">
        <w:rPr>
          <w:rFonts w:ascii="Times New Roman" w:hAnsi="Times New Roman" w:cs="Times New Roman"/>
          <w:sz w:val="24"/>
          <w:szCs w:val="24"/>
          <w:lang w:val="sq-AL"/>
        </w:rPr>
        <w:t>isht dhe aftësinë për të paguar;</w:t>
      </w:r>
    </w:p>
    <w:p w14:paraId="66FF0748" w14:textId="77777777" w:rsidR="002F39DD" w:rsidRDefault="002F39DD" w:rsidP="002F39DD">
      <w:pPr>
        <w:pStyle w:val="ListParagraph"/>
        <w:spacing w:line="276" w:lineRule="auto"/>
        <w:jc w:val="both"/>
        <w:rPr>
          <w:rFonts w:ascii="Times New Roman" w:hAnsi="Times New Roman" w:cs="Times New Roman"/>
          <w:sz w:val="24"/>
          <w:szCs w:val="24"/>
          <w:lang w:val="sq-AL"/>
        </w:rPr>
      </w:pPr>
    </w:p>
    <w:p w14:paraId="6BE274D2" w14:textId="77777777" w:rsidR="00F445B5" w:rsidRPr="00991BFE" w:rsidRDefault="00F445B5" w:rsidP="00F445B5">
      <w:pPr>
        <w:pStyle w:val="ListParagraph"/>
        <w:numPr>
          <w:ilvl w:val="0"/>
          <w:numId w:val="17"/>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Do të ofroj</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hapësirën e nevojshme ​​për rritjen e shkall</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 s</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ul</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 t</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taksimit p</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 nd</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rtesat e banimit; dhe</w:t>
      </w:r>
      <w:r w:rsidR="009C6A9F" w:rsidRPr="00991BFE">
        <w:rPr>
          <w:rFonts w:ascii="Times New Roman" w:hAnsi="Times New Roman" w:cs="Times New Roman"/>
          <w:sz w:val="24"/>
          <w:szCs w:val="24"/>
          <w:lang w:val="sq-AL"/>
        </w:rPr>
        <w:t xml:space="preserve"> </w:t>
      </w:r>
    </w:p>
    <w:p w14:paraId="69A88436" w14:textId="77777777" w:rsidR="00F445B5" w:rsidRPr="00991BFE" w:rsidRDefault="00F445B5" w:rsidP="00F445B5">
      <w:pPr>
        <w:pStyle w:val="ListParagraph"/>
        <w:spacing w:line="276" w:lineRule="auto"/>
        <w:jc w:val="both"/>
        <w:rPr>
          <w:rFonts w:ascii="Times New Roman" w:hAnsi="Times New Roman" w:cs="Times New Roman"/>
          <w:sz w:val="24"/>
          <w:szCs w:val="24"/>
          <w:lang w:val="sq-AL"/>
        </w:rPr>
      </w:pPr>
    </w:p>
    <w:p w14:paraId="00E5096D" w14:textId="77777777" w:rsidR="00F445B5" w:rsidRPr="00991BFE" w:rsidRDefault="00F445B5" w:rsidP="007C0F26">
      <w:pPr>
        <w:pStyle w:val="ListParagraph"/>
        <w:numPr>
          <w:ilvl w:val="0"/>
          <w:numId w:val="17"/>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Mund të përdoret si një mj</w:t>
      </w:r>
      <w:r w:rsidR="003D6DF4" w:rsidRPr="00991BFE">
        <w:rPr>
          <w:rFonts w:ascii="Times New Roman" w:hAnsi="Times New Roman" w:cs="Times New Roman"/>
          <w:sz w:val="24"/>
          <w:szCs w:val="24"/>
          <w:lang w:val="sq-AL"/>
        </w:rPr>
        <w:t xml:space="preserve">et për të stimuluar regjistrime </w:t>
      </w:r>
      <w:r w:rsidR="00CB267F" w:rsidRPr="00991BFE">
        <w:rPr>
          <w:rFonts w:ascii="Times New Roman" w:hAnsi="Times New Roman" w:cs="Times New Roman"/>
          <w:sz w:val="24"/>
          <w:szCs w:val="24"/>
          <w:lang w:val="sq-AL"/>
        </w:rPr>
        <w:t>të</w:t>
      </w:r>
      <w:r w:rsidR="003D6DF4"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reja dhe përditësimin e informacionit në kadastrën fiskale</w:t>
      </w:r>
      <w:r w:rsidR="004B0A5D" w:rsidRPr="00991BFE">
        <w:rPr>
          <w:rFonts w:ascii="Times New Roman" w:hAnsi="Times New Roman" w:cs="Times New Roman"/>
          <w:sz w:val="24"/>
          <w:szCs w:val="24"/>
          <w:lang w:val="sq-AL"/>
        </w:rPr>
        <w:t>.</w:t>
      </w:r>
    </w:p>
    <w:p w14:paraId="4645A242" w14:textId="728FCD65" w:rsidR="002E64FA" w:rsidRPr="00991BFE" w:rsidRDefault="0059721C" w:rsidP="002E64FA">
      <w:pPr>
        <w:spacing w:line="276" w:lineRule="auto"/>
        <w:jc w:val="both"/>
        <w:rPr>
          <w:rFonts w:ascii="Times New Roman" w:hAnsi="Times New Roman" w:cs="Times New Roman"/>
          <w:sz w:val="24"/>
          <w:szCs w:val="24"/>
          <w:lang w:val="sq-AL"/>
        </w:rPr>
      </w:pPr>
      <w:r w:rsidRPr="0059721C">
        <w:t xml:space="preserve"> </w:t>
      </w:r>
      <w:r w:rsidRPr="00466DCF">
        <w:rPr>
          <w:rFonts w:ascii="Times New Roman" w:hAnsi="Times New Roman" w:cs="Times New Roman"/>
          <w:sz w:val="24"/>
          <w:szCs w:val="24"/>
          <w:lang w:val="sq-AL"/>
        </w:rPr>
        <w:t>Siç u shpjegua më sipër, zbritja për banesën e parë përjashton nga taksimi një pjesë të vlerës së banesës</w:t>
      </w:r>
      <w:r w:rsidR="008C12C7" w:rsidRPr="00466DCF">
        <w:rPr>
          <w:rFonts w:ascii="Times New Roman" w:hAnsi="Times New Roman" w:cs="Times New Roman"/>
          <w:sz w:val="24"/>
          <w:szCs w:val="24"/>
          <w:lang w:val="sq-AL"/>
        </w:rPr>
        <w:t xml:space="preserve"> së parë</w:t>
      </w:r>
      <w:r w:rsidRPr="00466DCF">
        <w:rPr>
          <w:rFonts w:ascii="Times New Roman" w:hAnsi="Times New Roman" w:cs="Times New Roman"/>
          <w:sz w:val="24"/>
          <w:szCs w:val="24"/>
          <w:lang w:val="sq-AL"/>
        </w:rPr>
        <w:t>.</w:t>
      </w:r>
      <w:r w:rsidR="00466DCF" w:rsidRPr="00B2136F">
        <w:rPr>
          <w:lang w:val="sq-AL"/>
        </w:rPr>
        <w:t xml:space="preserve"> </w:t>
      </w:r>
      <w:r w:rsidR="00466DCF" w:rsidRPr="00B2136F">
        <w:rPr>
          <w:rFonts w:ascii="Times New Roman" w:hAnsi="Times New Roman" w:cs="Times New Roman"/>
          <w:sz w:val="24"/>
          <w:szCs w:val="24"/>
          <w:lang w:val="sq-AL"/>
        </w:rPr>
        <w:t>Për banesat me vlerë deri në dyfishin e pragut të zbritjes, taksa llogaritet vetëm mbi 50% të vlerës së banesës. Si rrjedhojë, individi është i detyruar të paguajë vetëm gjysmën (1/2) e taksës që do të paguante nëse prona nuk do të ishte banesa e tij e parë.</w:t>
      </w:r>
      <w:r w:rsidRPr="00466DCF">
        <w:rPr>
          <w:rFonts w:ascii="Times New Roman" w:hAnsi="Times New Roman" w:cs="Times New Roman"/>
          <w:sz w:val="24"/>
          <w:szCs w:val="24"/>
          <w:lang w:val="sq-AL"/>
        </w:rPr>
        <w:t xml:space="preserve"> Për banesat</w:t>
      </w:r>
      <w:r w:rsidR="00466DCF">
        <w:rPr>
          <w:rFonts w:ascii="Times New Roman" w:hAnsi="Times New Roman" w:cs="Times New Roman"/>
          <w:sz w:val="24"/>
          <w:szCs w:val="24"/>
          <w:lang w:val="sq-AL"/>
        </w:rPr>
        <w:t xml:space="preserve"> e para</w:t>
      </w:r>
      <w:r w:rsidRPr="00466DCF">
        <w:rPr>
          <w:rFonts w:ascii="Times New Roman" w:hAnsi="Times New Roman" w:cs="Times New Roman"/>
          <w:sz w:val="24"/>
          <w:szCs w:val="24"/>
          <w:lang w:val="sq-AL"/>
        </w:rPr>
        <w:t xml:space="preserve"> me vlerë më të lartë, përjashtohet nga taksimi vetëm pjesa e vlerës që korrespondon me pragun e zbritjes dhe taksa llogaritet mbi pjesën e vlerës që tejkalon këtë prag.</w:t>
      </w:r>
      <w:r w:rsidR="00303AD1">
        <w:rPr>
          <w:rFonts w:ascii="Times New Roman" w:hAnsi="Times New Roman" w:cs="Times New Roman"/>
          <w:sz w:val="24"/>
          <w:szCs w:val="24"/>
          <w:lang w:val="sq-AL"/>
        </w:rPr>
        <w:t xml:space="preserve"> </w:t>
      </w:r>
      <w:r w:rsidR="006D455D" w:rsidRPr="00991BFE">
        <w:rPr>
          <w:rFonts w:ascii="Times New Roman" w:hAnsi="Times New Roman" w:cs="Times New Roman"/>
          <w:sz w:val="24"/>
          <w:szCs w:val="24"/>
          <w:lang w:val="sq-AL"/>
        </w:rPr>
        <w:t>Gjithashtu</w:t>
      </w:r>
      <w:r w:rsidR="00EB6F75" w:rsidRPr="00991BFE">
        <w:rPr>
          <w:rFonts w:ascii="Times New Roman" w:hAnsi="Times New Roman" w:cs="Times New Roman"/>
          <w:sz w:val="24"/>
          <w:szCs w:val="24"/>
          <w:lang w:val="sq-AL"/>
        </w:rPr>
        <w:t>,</w:t>
      </w:r>
      <w:r w:rsidR="006D455D" w:rsidRPr="00991BFE">
        <w:rPr>
          <w:rFonts w:ascii="Times New Roman" w:hAnsi="Times New Roman" w:cs="Times New Roman"/>
          <w:sz w:val="24"/>
          <w:szCs w:val="24"/>
          <w:lang w:val="sq-AL"/>
        </w:rPr>
        <w:t xml:space="preserve"> n</w:t>
      </w:r>
      <w:r w:rsidR="00D3437F" w:rsidRPr="00991BFE">
        <w:rPr>
          <w:rFonts w:ascii="Times New Roman" w:hAnsi="Times New Roman" w:cs="Times New Roman"/>
          <w:sz w:val="24"/>
          <w:szCs w:val="24"/>
          <w:lang w:val="sq-AL"/>
        </w:rPr>
        <w:t>ë</w:t>
      </w:r>
      <w:r w:rsidR="006D455D" w:rsidRPr="00991BFE">
        <w:rPr>
          <w:rFonts w:ascii="Times New Roman" w:hAnsi="Times New Roman" w:cs="Times New Roman"/>
          <w:sz w:val="24"/>
          <w:szCs w:val="24"/>
          <w:lang w:val="sq-AL"/>
        </w:rPr>
        <w:t xml:space="preserve"> k</w:t>
      </w:r>
      <w:r w:rsidR="00D3437F" w:rsidRPr="00991BFE">
        <w:rPr>
          <w:rFonts w:ascii="Times New Roman" w:hAnsi="Times New Roman" w:cs="Times New Roman"/>
          <w:sz w:val="24"/>
          <w:szCs w:val="24"/>
          <w:lang w:val="sq-AL"/>
        </w:rPr>
        <w:t>ë</w:t>
      </w:r>
      <w:r w:rsidR="006D455D" w:rsidRPr="00991BFE">
        <w:rPr>
          <w:rFonts w:ascii="Times New Roman" w:hAnsi="Times New Roman" w:cs="Times New Roman"/>
          <w:sz w:val="24"/>
          <w:szCs w:val="24"/>
          <w:lang w:val="sq-AL"/>
        </w:rPr>
        <w:t>t</w:t>
      </w:r>
      <w:r w:rsidR="00D3437F" w:rsidRPr="00991BFE">
        <w:rPr>
          <w:rFonts w:ascii="Times New Roman" w:hAnsi="Times New Roman" w:cs="Times New Roman"/>
          <w:sz w:val="24"/>
          <w:szCs w:val="24"/>
          <w:lang w:val="sq-AL"/>
        </w:rPr>
        <w:t>ë</w:t>
      </w:r>
      <w:r w:rsidR="006D455D" w:rsidRPr="00991BFE">
        <w:rPr>
          <w:rFonts w:ascii="Times New Roman" w:hAnsi="Times New Roman" w:cs="Times New Roman"/>
          <w:sz w:val="24"/>
          <w:szCs w:val="24"/>
          <w:lang w:val="sq-AL"/>
        </w:rPr>
        <w:t xml:space="preserve"> nen p</w:t>
      </w:r>
      <w:r w:rsidR="00D3437F" w:rsidRPr="00991BFE">
        <w:rPr>
          <w:rFonts w:ascii="Times New Roman" w:hAnsi="Times New Roman" w:cs="Times New Roman"/>
          <w:sz w:val="24"/>
          <w:szCs w:val="24"/>
          <w:lang w:val="sq-AL"/>
        </w:rPr>
        <w:t>ë</w:t>
      </w:r>
      <w:r w:rsidR="006D455D" w:rsidRPr="00991BFE">
        <w:rPr>
          <w:rFonts w:ascii="Times New Roman" w:hAnsi="Times New Roman" w:cs="Times New Roman"/>
          <w:sz w:val="24"/>
          <w:szCs w:val="24"/>
          <w:lang w:val="sq-AL"/>
        </w:rPr>
        <w:t>rcaktohet se</w:t>
      </w:r>
      <w:r w:rsidR="00EB6F75" w:rsidRPr="00991BFE">
        <w:rPr>
          <w:rFonts w:ascii="Times New Roman" w:hAnsi="Times New Roman" w:cs="Times New Roman"/>
          <w:sz w:val="24"/>
          <w:szCs w:val="24"/>
          <w:lang w:val="sq-AL"/>
        </w:rPr>
        <w:t xml:space="preserve"> n</w:t>
      </w:r>
      <w:r w:rsidR="002D0633" w:rsidRPr="00991BFE">
        <w:rPr>
          <w:rFonts w:ascii="Times New Roman" w:hAnsi="Times New Roman" w:cs="Times New Roman"/>
          <w:sz w:val="24"/>
          <w:szCs w:val="24"/>
          <w:lang w:val="sq-AL"/>
        </w:rPr>
        <w:t>ë</w:t>
      </w:r>
      <w:r w:rsidR="002E64FA" w:rsidRPr="00991BFE">
        <w:rPr>
          <w:rFonts w:ascii="Times New Roman" w:hAnsi="Times New Roman" w:cs="Times New Roman"/>
          <w:sz w:val="24"/>
          <w:szCs w:val="24"/>
          <w:lang w:val="sq-AL"/>
        </w:rPr>
        <w:t xml:space="preserve"> rastet e banesave n</w:t>
      </w:r>
      <w:r w:rsidR="002D0633" w:rsidRPr="00991BFE">
        <w:rPr>
          <w:rFonts w:ascii="Times New Roman" w:hAnsi="Times New Roman" w:cs="Times New Roman"/>
          <w:sz w:val="24"/>
          <w:szCs w:val="24"/>
          <w:lang w:val="sq-AL"/>
        </w:rPr>
        <w:t>ë</w:t>
      </w:r>
      <w:r w:rsidR="002E64FA" w:rsidRPr="00991BFE">
        <w:rPr>
          <w:rFonts w:ascii="Times New Roman" w:hAnsi="Times New Roman" w:cs="Times New Roman"/>
          <w:sz w:val="24"/>
          <w:szCs w:val="24"/>
          <w:lang w:val="sq-AL"/>
        </w:rPr>
        <w:t xml:space="preserve"> </w:t>
      </w:r>
      <w:r w:rsidR="003D6DF4" w:rsidRPr="00991BFE">
        <w:rPr>
          <w:rFonts w:ascii="Times New Roman" w:hAnsi="Times New Roman" w:cs="Times New Roman"/>
          <w:sz w:val="24"/>
          <w:szCs w:val="24"/>
          <w:lang w:val="sq-AL"/>
        </w:rPr>
        <w:t>bashkëpronësi</w:t>
      </w:r>
      <w:r w:rsidR="002E64FA" w:rsidRPr="00991BFE">
        <w:rPr>
          <w:rFonts w:ascii="Times New Roman" w:hAnsi="Times New Roman" w:cs="Times New Roman"/>
          <w:sz w:val="24"/>
          <w:szCs w:val="24"/>
          <w:lang w:val="sq-AL"/>
        </w:rPr>
        <w:t xml:space="preserve"> ose </w:t>
      </w:r>
      <w:r w:rsidR="003D6DF4" w:rsidRPr="00991BFE">
        <w:rPr>
          <w:rFonts w:ascii="Times New Roman" w:hAnsi="Times New Roman" w:cs="Times New Roman"/>
          <w:sz w:val="24"/>
          <w:szCs w:val="24"/>
          <w:lang w:val="sq-AL"/>
        </w:rPr>
        <w:t>bashkë-posedim</w:t>
      </w:r>
      <w:r w:rsidR="002E64FA" w:rsidRPr="00991BFE">
        <w:rPr>
          <w:rFonts w:ascii="Times New Roman" w:hAnsi="Times New Roman" w:cs="Times New Roman"/>
          <w:sz w:val="24"/>
          <w:szCs w:val="24"/>
          <w:lang w:val="sq-AL"/>
        </w:rPr>
        <w:t>, bashkëpronari ose bashkë-poseduesi,</w:t>
      </w:r>
      <w:r w:rsidR="00EB6F75" w:rsidRPr="00991BFE">
        <w:rPr>
          <w:rFonts w:ascii="Times New Roman" w:hAnsi="Times New Roman" w:cs="Times New Roman"/>
          <w:sz w:val="24"/>
          <w:szCs w:val="24"/>
          <w:lang w:val="sq-AL"/>
        </w:rPr>
        <w:t xml:space="preserve"> do </w:t>
      </w:r>
      <w:r w:rsidR="00CB267F" w:rsidRPr="00991BFE">
        <w:rPr>
          <w:rFonts w:ascii="Times New Roman" w:hAnsi="Times New Roman" w:cs="Times New Roman"/>
          <w:sz w:val="24"/>
          <w:szCs w:val="24"/>
          <w:lang w:val="sq-AL"/>
        </w:rPr>
        <w:t>të</w:t>
      </w:r>
      <w:r w:rsidR="00EB6F75" w:rsidRPr="00991BFE">
        <w:rPr>
          <w:rFonts w:ascii="Times New Roman" w:hAnsi="Times New Roman" w:cs="Times New Roman"/>
          <w:sz w:val="24"/>
          <w:szCs w:val="24"/>
          <w:lang w:val="sq-AL"/>
        </w:rPr>
        <w:t xml:space="preserve"> </w:t>
      </w:r>
      <w:r w:rsidR="00CB267F" w:rsidRPr="00991BFE">
        <w:rPr>
          <w:rFonts w:ascii="Times New Roman" w:hAnsi="Times New Roman" w:cs="Times New Roman"/>
          <w:sz w:val="24"/>
          <w:szCs w:val="24"/>
          <w:lang w:val="sq-AL"/>
        </w:rPr>
        <w:t>ketë</w:t>
      </w:r>
      <w:r w:rsidR="009C6A9F" w:rsidRPr="00991BFE">
        <w:rPr>
          <w:rFonts w:ascii="Times New Roman" w:hAnsi="Times New Roman" w:cs="Times New Roman"/>
          <w:sz w:val="24"/>
          <w:szCs w:val="24"/>
          <w:lang w:val="sq-AL"/>
        </w:rPr>
        <w:t xml:space="preserve"> </w:t>
      </w:r>
      <w:r w:rsidR="002E64FA" w:rsidRPr="00991BFE">
        <w:rPr>
          <w:rFonts w:ascii="Times New Roman" w:hAnsi="Times New Roman" w:cs="Times New Roman"/>
          <w:sz w:val="24"/>
          <w:szCs w:val="24"/>
          <w:lang w:val="sq-AL"/>
        </w:rPr>
        <w:t>të drejtën e zbritjes për banesën e parë, në proporcion me p</w:t>
      </w:r>
      <w:r w:rsidR="003D6DF4" w:rsidRPr="00991BFE">
        <w:rPr>
          <w:rFonts w:ascii="Times New Roman" w:hAnsi="Times New Roman" w:cs="Times New Roman"/>
          <w:sz w:val="24"/>
          <w:szCs w:val="24"/>
          <w:lang w:val="sq-AL"/>
        </w:rPr>
        <w:t>jesën e tij të caktuar.</w:t>
      </w:r>
    </w:p>
    <w:p w14:paraId="2C69869F" w14:textId="6F86713A" w:rsidR="002C57A9" w:rsidRPr="00111FB3" w:rsidRDefault="00A93EB6" w:rsidP="007C0F2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Në vijim</w:t>
      </w:r>
      <w:r w:rsidR="00B029A5" w:rsidRPr="00991BFE">
        <w:rPr>
          <w:rFonts w:ascii="Times New Roman" w:hAnsi="Times New Roman" w:cs="Times New Roman"/>
          <w:sz w:val="24"/>
          <w:szCs w:val="24"/>
          <w:lang w:val="sq-AL"/>
        </w:rPr>
        <w:t>, p</w:t>
      </w:r>
      <w:r w:rsidR="003E3FBC" w:rsidRPr="00991BFE">
        <w:rPr>
          <w:rFonts w:ascii="Times New Roman" w:hAnsi="Times New Roman" w:cs="Times New Roman"/>
          <w:sz w:val="24"/>
          <w:szCs w:val="24"/>
          <w:lang w:val="sq-AL"/>
        </w:rPr>
        <w:t xml:space="preserve">ikat 4 deri </w:t>
      </w:r>
      <w:r w:rsidR="00303AD1">
        <w:rPr>
          <w:rFonts w:ascii="Times New Roman" w:hAnsi="Times New Roman" w:cs="Times New Roman"/>
          <w:sz w:val="24"/>
          <w:szCs w:val="24"/>
          <w:lang w:val="sq-AL"/>
        </w:rPr>
        <w:t>9</w:t>
      </w:r>
      <w:r w:rsidR="003E3FBC" w:rsidRPr="00991BFE">
        <w:rPr>
          <w:rFonts w:ascii="Times New Roman" w:hAnsi="Times New Roman" w:cs="Times New Roman"/>
          <w:sz w:val="24"/>
          <w:szCs w:val="24"/>
          <w:lang w:val="sq-AL"/>
        </w:rPr>
        <w:t>,</w:t>
      </w:r>
      <w:r w:rsidR="002C57A9" w:rsidRPr="00991BFE">
        <w:rPr>
          <w:rFonts w:ascii="Times New Roman" w:hAnsi="Times New Roman" w:cs="Times New Roman"/>
          <w:sz w:val="24"/>
          <w:szCs w:val="24"/>
          <w:lang w:val="sq-AL"/>
        </w:rPr>
        <w:t xml:space="preserve"> </w:t>
      </w:r>
      <w:r w:rsidR="00841366" w:rsidRPr="00991BFE">
        <w:rPr>
          <w:rFonts w:ascii="Times New Roman" w:hAnsi="Times New Roman" w:cs="Times New Roman"/>
          <w:sz w:val="24"/>
          <w:szCs w:val="24"/>
          <w:lang w:val="sq-AL"/>
        </w:rPr>
        <w:t>të</w:t>
      </w:r>
      <w:r w:rsidR="002C57A9" w:rsidRPr="00991BFE">
        <w:rPr>
          <w:rFonts w:ascii="Times New Roman" w:hAnsi="Times New Roman" w:cs="Times New Roman"/>
          <w:sz w:val="24"/>
          <w:szCs w:val="24"/>
          <w:lang w:val="sq-AL"/>
        </w:rPr>
        <w:t xml:space="preserve"> nenit 8, </w:t>
      </w:r>
      <w:r w:rsidR="00841366" w:rsidRPr="00991BFE">
        <w:rPr>
          <w:rFonts w:ascii="Times New Roman" w:hAnsi="Times New Roman" w:cs="Times New Roman"/>
          <w:sz w:val="24"/>
          <w:szCs w:val="24"/>
          <w:lang w:val="sq-AL"/>
        </w:rPr>
        <w:t>përcaktojnë</w:t>
      </w:r>
      <w:r w:rsidR="002C57A9" w:rsidRPr="00991BFE">
        <w:rPr>
          <w:rFonts w:ascii="Times New Roman" w:hAnsi="Times New Roman" w:cs="Times New Roman"/>
          <w:sz w:val="24"/>
          <w:szCs w:val="24"/>
          <w:lang w:val="sq-AL"/>
        </w:rPr>
        <w:t xml:space="preserve"> rregullat dhe procedurat </w:t>
      </w:r>
      <w:r w:rsidR="00841366" w:rsidRPr="00991BFE">
        <w:rPr>
          <w:rFonts w:ascii="Times New Roman" w:hAnsi="Times New Roman" w:cs="Times New Roman"/>
          <w:sz w:val="24"/>
          <w:szCs w:val="24"/>
          <w:lang w:val="sq-AL"/>
        </w:rPr>
        <w:t>për</w:t>
      </w:r>
      <w:r w:rsidR="002C57A9" w:rsidRPr="00991BFE">
        <w:rPr>
          <w:rFonts w:ascii="Times New Roman" w:hAnsi="Times New Roman" w:cs="Times New Roman"/>
          <w:sz w:val="24"/>
          <w:szCs w:val="24"/>
          <w:lang w:val="sq-AL"/>
        </w:rPr>
        <w:t xml:space="preserve"> zbatimin e zbritjes </w:t>
      </w:r>
      <w:r w:rsidR="00841366" w:rsidRPr="00991BFE">
        <w:rPr>
          <w:rFonts w:ascii="Times New Roman" w:hAnsi="Times New Roman" w:cs="Times New Roman"/>
          <w:sz w:val="24"/>
          <w:szCs w:val="24"/>
          <w:lang w:val="sq-AL"/>
        </w:rPr>
        <w:t>për</w:t>
      </w:r>
      <w:r w:rsidR="002C57A9" w:rsidRPr="00991BFE">
        <w:rPr>
          <w:rFonts w:ascii="Times New Roman" w:hAnsi="Times New Roman" w:cs="Times New Roman"/>
          <w:sz w:val="24"/>
          <w:szCs w:val="24"/>
          <w:lang w:val="sq-AL"/>
        </w:rPr>
        <w:t xml:space="preserve"> bane</w:t>
      </w:r>
      <w:r w:rsidR="00841366" w:rsidRPr="00991BFE">
        <w:rPr>
          <w:rFonts w:ascii="Times New Roman" w:hAnsi="Times New Roman" w:cs="Times New Roman"/>
          <w:sz w:val="24"/>
          <w:szCs w:val="24"/>
          <w:lang w:val="sq-AL"/>
        </w:rPr>
        <w:t>sën e parë</w:t>
      </w:r>
      <w:r w:rsidR="002C57A9" w:rsidRPr="00991BFE">
        <w:rPr>
          <w:rFonts w:ascii="Times New Roman" w:hAnsi="Times New Roman" w:cs="Times New Roman"/>
          <w:sz w:val="24"/>
          <w:szCs w:val="24"/>
          <w:lang w:val="sq-AL"/>
        </w:rPr>
        <w:t xml:space="preserve">, </w:t>
      </w:r>
      <w:r w:rsidR="00841366" w:rsidRPr="00991BFE">
        <w:rPr>
          <w:rFonts w:ascii="Times New Roman" w:hAnsi="Times New Roman" w:cs="Times New Roman"/>
          <w:sz w:val="24"/>
          <w:szCs w:val="24"/>
          <w:lang w:val="sq-AL"/>
        </w:rPr>
        <w:t>në</w:t>
      </w:r>
      <w:r w:rsidR="002C57A9" w:rsidRPr="00991BFE">
        <w:rPr>
          <w:rFonts w:ascii="Times New Roman" w:hAnsi="Times New Roman" w:cs="Times New Roman"/>
          <w:sz w:val="24"/>
          <w:szCs w:val="24"/>
          <w:lang w:val="sq-AL"/>
        </w:rPr>
        <w:t xml:space="preserve"> rastet kur individët kanë në pronësi ose posedi</w:t>
      </w:r>
      <w:r w:rsidR="000C1F39" w:rsidRPr="00991BFE">
        <w:rPr>
          <w:rFonts w:ascii="Times New Roman" w:hAnsi="Times New Roman" w:cs="Times New Roman"/>
          <w:sz w:val="24"/>
          <w:szCs w:val="24"/>
          <w:lang w:val="sq-AL"/>
        </w:rPr>
        <w:t>m</w:t>
      </w:r>
      <w:r w:rsidR="00B029A5" w:rsidRPr="00991BFE">
        <w:rPr>
          <w:rFonts w:ascii="Times New Roman" w:hAnsi="Times New Roman" w:cs="Times New Roman"/>
          <w:sz w:val="24"/>
          <w:szCs w:val="24"/>
          <w:lang w:val="sq-AL"/>
        </w:rPr>
        <w:t xml:space="preserve"> </w:t>
      </w:r>
      <w:r w:rsidR="003E3FBC" w:rsidRPr="00991BFE">
        <w:rPr>
          <w:rFonts w:ascii="Times New Roman" w:hAnsi="Times New Roman" w:cs="Times New Roman"/>
          <w:sz w:val="24"/>
          <w:szCs w:val="24"/>
          <w:lang w:val="sq-AL"/>
        </w:rPr>
        <w:t xml:space="preserve">vetëm një banesë ose </w:t>
      </w:r>
      <w:r w:rsidR="002C57A9" w:rsidRPr="00991BFE">
        <w:rPr>
          <w:rFonts w:ascii="Times New Roman" w:hAnsi="Times New Roman" w:cs="Times New Roman"/>
          <w:sz w:val="24"/>
          <w:szCs w:val="24"/>
          <w:lang w:val="sq-AL"/>
        </w:rPr>
        <w:t xml:space="preserve">më </w:t>
      </w:r>
      <w:r w:rsidR="008F6F99" w:rsidRPr="00991BFE">
        <w:rPr>
          <w:rFonts w:ascii="Times New Roman" w:hAnsi="Times New Roman" w:cs="Times New Roman"/>
          <w:sz w:val="24"/>
          <w:szCs w:val="24"/>
          <w:lang w:val="sq-AL"/>
        </w:rPr>
        <w:t>shumë se një banesë</w:t>
      </w:r>
      <w:r w:rsidR="003E3FBC" w:rsidRPr="00991BFE">
        <w:rPr>
          <w:rFonts w:ascii="Times New Roman" w:hAnsi="Times New Roman" w:cs="Times New Roman"/>
          <w:sz w:val="24"/>
          <w:szCs w:val="24"/>
          <w:lang w:val="sq-AL"/>
        </w:rPr>
        <w:t xml:space="preserve">.  </w:t>
      </w:r>
      <w:r w:rsidR="00B940D2" w:rsidRPr="00111FB3">
        <w:rPr>
          <w:rFonts w:ascii="Times New Roman" w:hAnsi="Times New Roman" w:cs="Times New Roman"/>
          <w:sz w:val="24"/>
          <w:szCs w:val="24"/>
          <w:lang w:val="sq-AL"/>
        </w:rPr>
        <w:t xml:space="preserve">Ndërsa pika </w:t>
      </w:r>
      <w:r w:rsidR="00303AD1" w:rsidRPr="00111FB3">
        <w:rPr>
          <w:rFonts w:ascii="Times New Roman" w:hAnsi="Times New Roman" w:cs="Times New Roman"/>
          <w:sz w:val="24"/>
          <w:szCs w:val="24"/>
          <w:lang w:val="sq-AL"/>
        </w:rPr>
        <w:t xml:space="preserve">10 </w:t>
      </w:r>
      <w:r w:rsidR="00B940D2" w:rsidRPr="00111FB3">
        <w:rPr>
          <w:rFonts w:ascii="Times New Roman" w:hAnsi="Times New Roman" w:cs="Times New Roman"/>
          <w:sz w:val="24"/>
          <w:szCs w:val="24"/>
          <w:lang w:val="sq-AL"/>
        </w:rPr>
        <w:t xml:space="preserve">parashikon se </w:t>
      </w:r>
      <w:r w:rsidR="0002641A" w:rsidRPr="00111FB3">
        <w:rPr>
          <w:rFonts w:ascii="Times New Roman" w:hAnsi="Times New Roman" w:cs="Times New Roman"/>
          <w:sz w:val="24"/>
          <w:szCs w:val="24"/>
        </w:rPr>
        <w:t xml:space="preserve"> </w:t>
      </w:r>
      <w:r w:rsidR="00303AD1" w:rsidRPr="00111FB3">
        <w:rPr>
          <w:rFonts w:ascii="Times New Roman" w:hAnsi="Times New Roman" w:cs="Times New Roman"/>
          <w:sz w:val="24"/>
          <w:szCs w:val="24"/>
          <w:lang w:val="sq-AL"/>
        </w:rPr>
        <w:t>individi</w:t>
      </w:r>
      <w:r w:rsidR="00FE65D5" w:rsidRPr="00111FB3">
        <w:rPr>
          <w:rFonts w:ascii="Times New Roman" w:hAnsi="Times New Roman" w:cs="Times New Roman"/>
          <w:sz w:val="24"/>
          <w:szCs w:val="24"/>
          <w:lang w:val="sq-AL"/>
        </w:rPr>
        <w:t xml:space="preserve"> i cili per </w:t>
      </w:r>
      <w:r w:rsidR="009D1D04" w:rsidRPr="00111FB3">
        <w:rPr>
          <w:rFonts w:ascii="Times New Roman" w:hAnsi="Times New Roman" w:cs="Times New Roman"/>
          <w:sz w:val="24"/>
          <w:szCs w:val="24"/>
          <w:lang w:val="sq-AL"/>
        </w:rPr>
        <w:t>1(</w:t>
      </w:r>
      <w:r w:rsidR="00FE65D5" w:rsidRPr="00111FB3">
        <w:rPr>
          <w:rFonts w:ascii="Times New Roman" w:hAnsi="Times New Roman" w:cs="Times New Roman"/>
          <w:sz w:val="24"/>
          <w:szCs w:val="24"/>
          <w:lang w:val="sq-AL"/>
        </w:rPr>
        <w:t>nje</w:t>
      </w:r>
      <w:r w:rsidR="009D1D04" w:rsidRPr="00111FB3">
        <w:rPr>
          <w:rFonts w:ascii="Times New Roman" w:hAnsi="Times New Roman" w:cs="Times New Roman"/>
          <w:sz w:val="24"/>
          <w:szCs w:val="24"/>
          <w:lang w:val="sq-AL"/>
        </w:rPr>
        <w:t>)</w:t>
      </w:r>
      <w:r w:rsidR="00FE65D5" w:rsidRPr="00111FB3">
        <w:rPr>
          <w:rFonts w:ascii="Times New Roman" w:hAnsi="Times New Roman" w:cs="Times New Roman"/>
          <w:sz w:val="24"/>
          <w:szCs w:val="24"/>
          <w:lang w:val="sq-AL"/>
        </w:rPr>
        <w:t xml:space="preserve"> nga banesat</w:t>
      </w:r>
      <w:r w:rsidR="00435F3B" w:rsidRPr="00111FB3">
        <w:rPr>
          <w:rFonts w:ascii="Times New Roman" w:hAnsi="Times New Roman" w:cs="Times New Roman"/>
          <w:sz w:val="24"/>
          <w:szCs w:val="24"/>
        </w:rPr>
        <w:t xml:space="preserve"> </w:t>
      </w:r>
      <w:proofErr w:type="spellStart"/>
      <w:r w:rsidR="00371AC7" w:rsidRPr="00111FB3">
        <w:rPr>
          <w:rFonts w:ascii="Times New Roman" w:hAnsi="Times New Roman" w:cs="Times New Roman"/>
          <w:sz w:val="24"/>
          <w:szCs w:val="24"/>
        </w:rPr>
        <w:t>në</w:t>
      </w:r>
      <w:proofErr w:type="spellEnd"/>
      <w:r w:rsidR="00F01B44" w:rsidRPr="00111FB3">
        <w:rPr>
          <w:rFonts w:ascii="Times New Roman" w:hAnsi="Times New Roman" w:cs="Times New Roman"/>
          <w:sz w:val="24"/>
          <w:szCs w:val="24"/>
        </w:rPr>
        <w:t xml:space="preserve"> </w:t>
      </w:r>
      <w:proofErr w:type="spellStart"/>
      <w:r w:rsidR="00F01B44" w:rsidRPr="00111FB3">
        <w:rPr>
          <w:rFonts w:ascii="Times New Roman" w:hAnsi="Times New Roman" w:cs="Times New Roman"/>
          <w:sz w:val="24"/>
          <w:szCs w:val="24"/>
        </w:rPr>
        <w:t>pronësi</w:t>
      </w:r>
      <w:proofErr w:type="spellEnd"/>
      <w:r w:rsidR="00F01B44" w:rsidRPr="00111FB3">
        <w:rPr>
          <w:rFonts w:ascii="Times New Roman" w:hAnsi="Times New Roman" w:cs="Times New Roman"/>
          <w:sz w:val="24"/>
          <w:szCs w:val="24"/>
        </w:rPr>
        <w:t xml:space="preserve"> </w:t>
      </w:r>
      <w:proofErr w:type="spellStart"/>
      <w:r w:rsidR="00F01B44" w:rsidRPr="00111FB3">
        <w:rPr>
          <w:rFonts w:ascii="Times New Roman" w:hAnsi="Times New Roman" w:cs="Times New Roman"/>
          <w:sz w:val="24"/>
          <w:szCs w:val="24"/>
        </w:rPr>
        <w:t>ose</w:t>
      </w:r>
      <w:proofErr w:type="spellEnd"/>
      <w:r w:rsidR="00F01B44" w:rsidRPr="00111FB3">
        <w:rPr>
          <w:rFonts w:ascii="Times New Roman" w:hAnsi="Times New Roman" w:cs="Times New Roman"/>
          <w:sz w:val="24"/>
          <w:szCs w:val="24"/>
        </w:rPr>
        <w:t xml:space="preserve"> </w:t>
      </w:r>
      <w:proofErr w:type="spellStart"/>
      <w:r w:rsidR="00F01B44" w:rsidRPr="00111FB3">
        <w:rPr>
          <w:rFonts w:ascii="Times New Roman" w:hAnsi="Times New Roman" w:cs="Times New Roman"/>
          <w:sz w:val="24"/>
          <w:szCs w:val="24"/>
        </w:rPr>
        <w:t>posedim</w:t>
      </w:r>
      <w:proofErr w:type="spellEnd"/>
      <w:r w:rsidR="00F01B44" w:rsidRPr="00111FB3">
        <w:rPr>
          <w:rFonts w:ascii="Times New Roman" w:hAnsi="Times New Roman" w:cs="Times New Roman"/>
          <w:sz w:val="24"/>
          <w:szCs w:val="24"/>
        </w:rPr>
        <w:t xml:space="preserve"> të </w:t>
      </w:r>
      <w:proofErr w:type="spellStart"/>
      <w:r w:rsidR="00F01B44" w:rsidRPr="00111FB3">
        <w:rPr>
          <w:rFonts w:ascii="Times New Roman" w:hAnsi="Times New Roman" w:cs="Times New Roman"/>
          <w:sz w:val="24"/>
          <w:szCs w:val="24"/>
        </w:rPr>
        <w:t>tij</w:t>
      </w:r>
      <w:proofErr w:type="spellEnd"/>
      <w:r w:rsidR="00F01B44" w:rsidRPr="00111FB3">
        <w:rPr>
          <w:rFonts w:ascii="Times New Roman" w:hAnsi="Times New Roman" w:cs="Times New Roman"/>
          <w:sz w:val="24"/>
          <w:szCs w:val="24"/>
        </w:rPr>
        <w:t>,</w:t>
      </w:r>
      <w:r w:rsidR="007375FE"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përfiton</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përjashtim</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nga</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taksa</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mbi</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pasurinë</w:t>
      </w:r>
      <w:proofErr w:type="spellEnd"/>
      <w:r w:rsidR="00435F3B" w:rsidRPr="00111FB3">
        <w:rPr>
          <w:rFonts w:ascii="Times New Roman" w:hAnsi="Times New Roman" w:cs="Times New Roman"/>
          <w:sz w:val="24"/>
          <w:szCs w:val="24"/>
        </w:rPr>
        <w:t xml:space="preserve"> e </w:t>
      </w:r>
      <w:proofErr w:type="spellStart"/>
      <w:r w:rsidR="00435F3B" w:rsidRPr="00111FB3">
        <w:rPr>
          <w:rFonts w:ascii="Times New Roman" w:hAnsi="Times New Roman" w:cs="Times New Roman"/>
          <w:sz w:val="24"/>
          <w:szCs w:val="24"/>
        </w:rPr>
        <w:t>paluajtshme</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sipas</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nenit</w:t>
      </w:r>
      <w:proofErr w:type="spellEnd"/>
      <w:r w:rsidR="00435F3B" w:rsidRPr="00111FB3">
        <w:rPr>
          <w:rFonts w:ascii="Times New Roman" w:hAnsi="Times New Roman" w:cs="Times New Roman"/>
          <w:sz w:val="24"/>
          <w:szCs w:val="24"/>
        </w:rPr>
        <w:t xml:space="preserve"> 10 të </w:t>
      </w:r>
      <w:proofErr w:type="spellStart"/>
      <w:r w:rsidR="00435F3B" w:rsidRPr="00111FB3">
        <w:rPr>
          <w:rFonts w:ascii="Times New Roman" w:hAnsi="Times New Roman" w:cs="Times New Roman"/>
          <w:sz w:val="24"/>
          <w:szCs w:val="24"/>
        </w:rPr>
        <w:t>këtij</w:t>
      </w:r>
      <w:proofErr w:type="spellEnd"/>
      <w:r w:rsidR="00435F3B" w:rsidRPr="00111FB3">
        <w:rPr>
          <w:rFonts w:ascii="Times New Roman" w:hAnsi="Times New Roman" w:cs="Times New Roman"/>
          <w:sz w:val="24"/>
          <w:szCs w:val="24"/>
        </w:rPr>
        <w:t xml:space="preserve"> </w:t>
      </w:r>
      <w:proofErr w:type="spellStart"/>
      <w:r w:rsidR="00CD50DD" w:rsidRPr="00111FB3">
        <w:rPr>
          <w:rFonts w:ascii="Times New Roman" w:hAnsi="Times New Roman" w:cs="Times New Roman"/>
          <w:sz w:val="24"/>
          <w:szCs w:val="24"/>
        </w:rPr>
        <w:t>projekt</w:t>
      </w:r>
      <w:r w:rsidR="00435F3B" w:rsidRPr="00111FB3">
        <w:rPr>
          <w:rFonts w:ascii="Times New Roman" w:hAnsi="Times New Roman" w:cs="Times New Roman"/>
          <w:sz w:val="24"/>
          <w:szCs w:val="24"/>
        </w:rPr>
        <w:t>ligji</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nuk</w:t>
      </w:r>
      <w:proofErr w:type="spellEnd"/>
      <w:r w:rsidR="00435F3B" w:rsidRPr="00111FB3">
        <w:rPr>
          <w:rFonts w:ascii="Times New Roman" w:hAnsi="Times New Roman" w:cs="Times New Roman"/>
          <w:sz w:val="24"/>
          <w:szCs w:val="24"/>
        </w:rPr>
        <w:t xml:space="preserve"> ka të </w:t>
      </w:r>
      <w:proofErr w:type="spellStart"/>
      <w:r w:rsidR="00435F3B" w:rsidRPr="00111FB3">
        <w:rPr>
          <w:rFonts w:ascii="Times New Roman" w:hAnsi="Times New Roman" w:cs="Times New Roman"/>
          <w:sz w:val="24"/>
          <w:szCs w:val="24"/>
        </w:rPr>
        <w:t>drejtë</w:t>
      </w:r>
      <w:proofErr w:type="spellEnd"/>
      <w:r w:rsidR="00435F3B" w:rsidRPr="00111FB3">
        <w:rPr>
          <w:rFonts w:ascii="Times New Roman" w:hAnsi="Times New Roman" w:cs="Times New Roman"/>
          <w:sz w:val="24"/>
          <w:szCs w:val="24"/>
        </w:rPr>
        <w:t xml:space="preserve"> të </w:t>
      </w:r>
      <w:proofErr w:type="spellStart"/>
      <w:r w:rsidR="00435F3B" w:rsidRPr="00111FB3">
        <w:rPr>
          <w:rFonts w:ascii="Times New Roman" w:hAnsi="Times New Roman" w:cs="Times New Roman"/>
          <w:sz w:val="24"/>
          <w:szCs w:val="24"/>
        </w:rPr>
        <w:t>përfitojë</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zbritjen</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për</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banesën</w:t>
      </w:r>
      <w:proofErr w:type="spellEnd"/>
      <w:r w:rsidR="00435F3B" w:rsidRPr="00111FB3">
        <w:rPr>
          <w:rFonts w:ascii="Times New Roman" w:hAnsi="Times New Roman" w:cs="Times New Roman"/>
          <w:sz w:val="24"/>
          <w:szCs w:val="24"/>
        </w:rPr>
        <w:t xml:space="preserve"> e </w:t>
      </w:r>
      <w:proofErr w:type="spellStart"/>
      <w:r w:rsidR="00435F3B" w:rsidRPr="00111FB3">
        <w:rPr>
          <w:rFonts w:ascii="Times New Roman" w:hAnsi="Times New Roman" w:cs="Times New Roman"/>
          <w:sz w:val="24"/>
          <w:szCs w:val="24"/>
        </w:rPr>
        <w:t>parë</w:t>
      </w:r>
      <w:proofErr w:type="spellEnd"/>
      <w:r w:rsidR="00435F3B" w:rsidRPr="00111FB3">
        <w:rPr>
          <w:rFonts w:ascii="Times New Roman" w:hAnsi="Times New Roman" w:cs="Times New Roman"/>
          <w:sz w:val="24"/>
          <w:szCs w:val="24"/>
        </w:rPr>
        <w:t xml:space="preserve"> </w:t>
      </w:r>
      <w:r w:rsidR="0020051E" w:rsidRPr="00111FB3">
        <w:rPr>
          <w:rFonts w:ascii="Times New Roman" w:hAnsi="Times New Roman" w:cs="Times New Roman"/>
          <w:sz w:val="24"/>
          <w:szCs w:val="24"/>
        </w:rPr>
        <w:t xml:space="preserve">të </w:t>
      </w:r>
      <w:proofErr w:type="spellStart"/>
      <w:r w:rsidR="0020051E" w:rsidRPr="00111FB3">
        <w:rPr>
          <w:rFonts w:ascii="Times New Roman" w:hAnsi="Times New Roman" w:cs="Times New Roman"/>
          <w:sz w:val="24"/>
          <w:szCs w:val="24"/>
        </w:rPr>
        <w:t>parashikuar</w:t>
      </w:r>
      <w:proofErr w:type="spellEnd"/>
      <w:r w:rsidR="0020051E" w:rsidRPr="00111FB3">
        <w:rPr>
          <w:rFonts w:ascii="Times New Roman" w:hAnsi="Times New Roman" w:cs="Times New Roman"/>
          <w:sz w:val="24"/>
          <w:szCs w:val="24"/>
        </w:rPr>
        <w:t xml:space="preserve"> </w:t>
      </w:r>
      <w:proofErr w:type="spellStart"/>
      <w:r w:rsidR="0020051E" w:rsidRPr="00111FB3">
        <w:rPr>
          <w:rFonts w:ascii="Times New Roman" w:hAnsi="Times New Roman" w:cs="Times New Roman"/>
          <w:sz w:val="24"/>
          <w:szCs w:val="24"/>
        </w:rPr>
        <w:t>në</w:t>
      </w:r>
      <w:proofErr w:type="spellEnd"/>
      <w:r w:rsidR="0020051E" w:rsidRPr="00111FB3">
        <w:rPr>
          <w:rFonts w:ascii="Times New Roman" w:hAnsi="Times New Roman" w:cs="Times New Roman"/>
          <w:sz w:val="24"/>
          <w:szCs w:val="24"/>
        </w:rPr>
        <w:t xml:space="preserve"> </w:t>
      </w:r>
      <w:proofErr w:type="spellStart"/>
      <w:r w:rsidR="0020051E" w:rsidRPr="00111FB3">
        <w:rPr>
          <w:rFonts w:ascii="Times New Roman" w:hAnsi="Times New Roman" w:cs="Times New Roman"/>
          <w:sz w:val="24"/>
          <w:szCs w:val="24"/>
        </w:rPr>
        <w:t>këtë</w:t>
      </w:r>
      <w:proofErr w:type="spellEnd"/>
      <w:r w:rsidR="0020051E" w:rsidRPr="00111FB3">
        <w:rPr>
          <w:rFonts w:ascii="Times New Roman" w:hAnsi="Times New Roman" w:cs="Times New Roman"/>
          <w:sz w:val="24"/>
          <w:szCs w:val="24"/>
        </w:rPr>
        <w:t xml:space="preserve"> </w:t>
      </w:r>
      <w:proofErr w:type="spellStart"/>
      <w:r w:rsidR="0020051E" w:rsidRPr="00111FB3">
        <w:rPr>
          <w:rFonts w:ascii="Times New Roman" w:hAnsi="Times New Roman" w:cs="Times New Roman"/>
          <w:sz w:val="24"/>
          <w:szCs w:val="24"/>
        </w:rPr>
        <w:t>nen</w:t>
      </w:r>
      <w:proofErr w:type="spellEnd"/>
      <w:r w:rsidR="000F6C92"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për</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asnjërën</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nga</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banesat</w:t>
      </w:r>
      <w:proofErr w:type="spellEnd"/>
      <w:r w:rsidR="00435F3B" w:rsidRPr="00111FB3">
        <w:rPr>
          <w:rFonts w:ascii="Times New Roman" w:hAnsi="Times New Roman" w:cs="Times New Roman"/>
          <w:sz w:val="24"/>
          <w:szCs w:val="24"/>
        </w:rPr>
        <w:t xml:space="preserve"> e </w:t>
      </w:r>
      <w:proofErr w:type="spellStart"/>
      <w:r w:rsidR="00435F3B" w:rsidRPr="00111FB3">
        <w:rPr>
          <w:rFonts w:ascii="Times New Roman" w:hAnsi="Times New Roman" w:cs="Times New Roman"/>
          <w:sz w:val="24"/>
          <w:szCs w:val="24"/>
        </w:rPr>
        <w:t>tjera</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në</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pronësi</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ose</w:t>
      </w:r>
      <w:proofErr w:type="spellEnd"/>
      <w:r w:rsidR="00435F3B" w:rsidRPr="00111FB3">
        <w:rPr>
          <w:rFonts w:ascii="Times New Roman" w:hAnsi="Times New Roman" w:cs="Times New Roman"/>
          <w:sz w:val="24"/>
          <w:szCs w:val="24"/>
        </w:rPr>
        <w:t xml:space="preserve"> </w:t>
      </w:r>
      <w:proofErr w:type="spellStart"/>
      <w:r w:rsidR="00435F3B" w:rsidRPr="00111FB3">
        <w:rPr>
          <w:rFonts w:ascii="Times New Roman" w:hAnsi="Times New Roman" w:cs="Times New Roman"/>
          <w:sz w:val="24"/>
          <w:szCs w:val="24"/>
        </w:rPr>
        <w:t>posedim</w:t>
      </w:r>
      <w:proofErr w:type="spellEnd"/>
      <w:r w:rsidR="00435F3B" w:rsidRPr="00111FB3">
        <w:rPr>
          <w:rFonts w:ascii="Times New Roman" w:hAnsi="Times New Roman" w:cs="Times New Roman"/>
          <w:sz w:val="24"/>
          <w:szCs w:val="24"/>
        </w:rPr>
        <w:t xml:space="preserve"> të </w:t>
      </w:r>
      <w:proofErr w:type="spellStart"/>
      <w:r w:rsidR="00435F3B" w:rsidRPr="00111FB3">
        <w:rPr>
          <w:rFonts w:ascii="Times New Roman" w:hAnsi="Times New Roman" w:cs="Times New Roman"/>
          <w:sz w:val="24"/>
          <w:szCs w:val="24"/>
        </w:rPr>
        <w:t>tij</w:t>
      </w:r>
      <w:proofErr w:type="spellEnd"/>
      <w:r w:rsidR="00435F3B" w:rsidRPr="00111FB3">
        <w:rPr>
          <w:rFonts w:ascii="Times New Roman" w:hAnsi="Times New Roman" w:cs="Times New Roman"/>
          <w:sz w:val="24"/>
          <w:szCs w:val="24"/>
        </w:rPr>
        <w:t>.</w:t>
      </w:r>
      <w:r w:rsidR="0002641A" w:rsidRPr="00111FB3">
        <w:rPr>
          <w:rFonts w:ascii="Times New Roman" w:hAnsi="Times New Roman" w:cs="Times New Roman"/>
          <w:sz w:val="24"/>
          <w:szCs w:val="24"/>
          <w:lang w:val="sq-AL"/>
        </w:rPr>
        <w:t xml:space="preserve"> Kjo dispozitë synon të shmangë përfitimin e dyfishtë nga lehtësitë fiskale të parashikuara në ligj.</w:t>
      </w:r>
      <w:r w:rsidR="00FE65D5" w:rsidRPr="00111FB3">
        <w:rPr>
          <w:rFonts w:ascii="Times New Roman" w:hAnsi="Times New Roman" w:cs="Times New Roman"/>
          <w:sz w:val="24"/>
          <w:szCs w:val="24"/>
          <w:lang w:val="sq-AL"/>
        </w:rPr>
        <w:t xml:space="preserve"> </w:t>
      </w:r>
    </w:p>
    <w:p w14:paraId="78ABDE9D" w14:textId="70D29220" w:rsidR="00B87062" w:rsidRPr="00991BFE" w:rsidRDefault="00B87062" w:rsidP="007C0F2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lastRenderedPageBreak/>
        <w:t>Neni 9</w:t>
      </w:r>
      <w:r w:rsidR="00307611" w:rsidRPr="00991BFE">
        <w:rPr>
          <w:rFonts w:ascii="Times New Roman" w:hAnsi="Times New Roman" w:cs="Times New Roman"/>
          <w:b/>
          <w:sz w:val="24"/>
          <w:szCs w:val="24"/>
          <w:lang w:val="sq-AL"/>
        </w:rPr>
        <w:t>,</w:t>
      </w:r>
      <w:r w:rsidR="007419A2" w:rsidRPr="00991BFE">
        <w:rPr>
          <w:rFonts w:ascii="Times New Roman" w:hAnsi="Times New Roman" w:cs="Times New Roman"/>
          <w:b/>
          <w:sz w:val="24"/>
          <w:szCs w:val="24"/>
          <w:lang w:val="sq-AL"/>
        </w:rPr>
        <w:t xml:space="preserve"> </w:t>
      </w:r>
      <w:r w:rsidR="003B6E47" w:rsidRPr="00991BFE">
        <w:rPr>
          <w:rFonts w:ascii="Times New Roman" w:hAnsi="Times New Roman" w:cs="Times New Roman"/>
          <w:sz w:val="24"/>
          <w:szCs w:val="24"/>
          <w:lang w:val="sq-AL"/>
        </w:rPr>
        <w:t xml:space="preserve">përcakton </w:t>
      </w:r>
      <w:r w:rsidRPr="00991BFE">
        <w:rPr>
          <w:rFonts w:ascii="Times New Roman" w:hAnsi="Times New Roman" w:cs="Times New Roman"/>
          <w:sz w:val="24"/>
          <w:szCs w:val="24"/>
          <w:lang w:val="sq-AL"/>
        </w:rPr>
        <w:t xml:space="preserve">në mënyrë shteruese se cili subjekt e mbart përgjegjësinë e pagimit të detyrimeve tatimore në raste të ndryshme. Përcaktimi i përkufizimeve për terma si pronar, zhvillues, posedues </w:t>
      </w:r>
      <w:r w:rsidR="00841501" w:rsidRPr="00991BFE">
        <w:rPr>
          <w:rFonts w:ascii="Times New Roman" w:hAnsi="Times New Roman" w:cs="Times New Roman"/>
          <w:sz w:val="24"/>
          <w:szCs w:val="24"/>
          <w:lang w:val="sq-AL"/>
        </w:rPr>
        <w:t>etj.</w:t>
      </w:r>
      <w:r w:rsidRPr="00991BFE">
        <w:rPr>
          <w:rFonts w:ascii="Times New Roman" w:hAnsi="Times New Roman" w:cs="Times New Roman"/>
          <w:sz w:val="24"/>
          <w:szCs w:val="24"/>
          <w:lang w:val="sq-AL"/>
        </w:rPr>
        <w:t xml:space="preserve">, dhe i rregullave të qarta për përcaktimin e personit përgjegjës për pagimin e detyrimeve tatimore, </w:t>
      </w:r>
      <w:r w:rsidR="00F16FAD" w:rsidRPr="00991BFE">
        <w:rPr>
          <w:rFonts w:ascii="Times New Roman" w:hAnsi="Times New Roman" w:cs="Times New Roman"/>
          <w:sz w:val="24"/>
          <w:szCs w:val="24"/>
          <w:lang w:val="sq-AL"/>
        </w:rPr>
        <w:t>kanë</w:t>
      </w:r>
      <w:r w:rsidRPr="00991BFE">
        <w:rPr>
          <w:rFonts w:ascii="Times New Roman" w:hAnsi="Times New Roman" w:cs="Times New Roman"/>
          <w:sz w:val="24"/>
          <w:szCs w:val="24"/>
          <w:lang w:val="sq-AL"/>
        </w:rPr>
        <w:t xml:space="preserve"> një rendësi themelore për shmangien e interpretimeve të ndryshme që raste të komplikuara faktike pronësore mund të sjellin.</w:t>
      </w:r>
    </w:p>
    <w:p w14:paraId="47CF8883" w14:textId="3A6C2B5A" w:rsidR="0062301B" w:rsidRPr="00991BFE" w:rsidRDefault="00D7618F" w:rsidP="004B0A5D">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Gjithashtu, ky nen parashikon se përgjegjësia për pagesën e taksës së plotë vjetore të pasurisë, për një vit tatimor të caktuar, i përket personit që është pronari, zhvilluesi</w:t>
      </w:r>
      <w:r w:rsidR="0062301B" w:rsidRPr="00991BFE">
        <w:rPr>
          <w:rFonts w:ascii="Times New Roman" w:hAnsi="Times New Roman" w:cs="Times New Roman"/>
          <w:sz w:val="24"/>
          <w:szCs w:val="24"/>
          <w:lang w:val="sq-AL"/>
        </w:rPr>
        <w:t>,</w:t>
      </w:r>
      <w:r w:rsidRPr="00991BFE">
        <w:rPr>
          <w:rFonts w:ascii="Times New Roman" w:hAnsi="Times New Roman" w:cs="Times New Roman"/>
          <w:sz w:val="24"/>
          <w:szCs w:val="24"/>
          <w:lang w:val="sq-AL"/>
        </w:rPr>
        <w:t xml:space="preserve"> poseduesi </w:t>
      </w:r>
      <w:r w:rsidR="0062301B" w:rsidRPr="00991BFE">
        <w:rPr>
          <w:rFonts w:ascii="Times New Roman" w:hAnsi="Times New Roman" w:cs="Times New Roman"/>
          <w:sz w:val="24"/>
          <w:szCs w:val="24"/>
          <w:lang w:val="sq-AL"/>
        </w:rPr>
        <w:t xml:space="preserve">ose përdoruesi </w:t>
      </w:r>
      <w:r w:rsidRPr="00991BFE">
        <w:rPr>
          <w:rFonts w:ascii="Times New Roman" w:hAnsi="Times New Roman" w:cs="Times New Roman"/>
          <w:sz w:val="24"/>
          <w:szCs w:val="24"/>
          <w:lang w:val="sq-AL"/>
        </w:rPr>
        <w:t>i pasurisë së paluajtshme në 3</w:t>
      </w:r>
      <w:r w:rsidR="00334927" w:rsidRPr="00991BFE">
        <w:rPr>
          <w:rFonts w:ascii="Times New Roman" w:hAnsi="Times New Roman" w:cs="Times New Roman"/>
          <w:sz w:val="24"/>
          <w:szCs w:val="24"/>
          <w:lang w:val="sq-AL"/>
        </w:rPr>
        <w:t>1</w:t>
      </w:r>
      <w:r w:rsidRPr="00991BFE">
        <w:rPr>
          <w:rFonts w:ascii="Times New Roman" w:hAnsi="Times New Roman" w:cs="Times New Roman"/>
          <w:sz w:val="24"/>
          <w:szCs w:val="24"/>
          <w:lang w:val="sq-AL"/>
        </w:rPr>
        <w:t xml:space="preserve"> </w:t>
      </w:r>
      <w:r w:rsidR="00334927" w:rsidRPr="00991BFE">
        <w:rPr>
          <w:rFonts w:ascii="Times New Roman" w:hAnsi="Times New Roman" w:cs="Times New Roman"/>
          <w:sz w:val="24"/>
          <w:szCs w:val="24"/>
          <w:lang w:val="sq-AL"/>
        </w:rPr>
        <w:t>dhje</w:t>
      </w:r>
      <w:r w:rsidRPr="00991BFE">
        <w:rPr>
          <w:rFonts w:ascii="Times New Roman" w:hAnsi="Times New Roman" w:cs="Times New Roman"/>
          <w:sz w:val="24"/>
          <w:szCs w:val="24"/>
          <w:lang w:val="sq-AL"/>
        </w:rPr>
        <w:t>tor të</w:t>
      </w:r>
      <w:r w:rsidR="00C229E0" w:rsidRPr="00991BFE">
        <w:rPr>
          <w:rFonts w:ascii="Times New Roman" w:hAnsi="Times New Roman" w:cs="Times New Roman"/>
          <w:sz w:val="24"/>
          <w:szCs w:val="24"/>
          <w:lang w:val="sq-AL"/>
        </w:rPr>
        <w:t xml:space="preserve"> vitit </w:t>
      </w:r>
      <w:r w:rsidR="00BE399D">
        <w:rPr>
          <w:rFonts w:ascii="Times New Roman" w:hAnsi="Times New Roman" w:cs="Times New Roman"/>
          <w:sz w:val="24"/>
          <w:szCs w:val="24"/>
          <w:lang w:val="sq-AL"/>
        </w:rPr>
        <w:t xml:space="preserve">që i </w:t>
      </w:r>
      <w:r w:rsidR="00C229E0" w:rsidRPr="00991BFE">
        <w:rPr>
          <w:rFonts w:ascii="Times New Roman" w:hAnsi="Times New Roman" w:cs="Times New Roman"/>
          <w:sz w:val="24"/>
          <w:szCs w:val="24"/>
          <w:lang w:val="sq-AL"/>
        </w:rPr>
        <w:t>para</w:t>
      </w:r>
      <w:r w:rsidR="00BE399D">
        <w:rPr>
          <w:rFonts w:ascii="Times New Roman" w:hAnsi="Times New Roman" w:cs="Times New Roman"/>
          <w:sz w:val="24"/>
          <w:szCs w:val="24"/>
          <w:lang w:val="sq-AL"/>
        </w:rPr>
        <w:t>prin</w:t>
      </w:r>
      <w:r w:rsidR="00C229E0" w:rsidRPr="00991BFE">
        <w:rPr>
          <w:rFonts w:ascii="Times New Roman" w:hAnsi="Times New Roman" w:cs="Times New Roman"/>
          <w:sz w:val="24"/>
          <w:szCs w:val="24"/>
          <w:lang w:val="sq-AL"/>
        </w:rPr>
        <w:t xml:space="preserve"> vitit tatimor</w:t>
      </w:r>
      <w:r w:rsidRPr="00991BFE">
        <w:rPr>
          <w:rFonts w:ascii="Times New Roman" w:hAnsi="Times New Roman" w:cs="Times New Roman"/>
          <w:sz w:val="24"/>
          <w:szCs w:val="24"/>
          <w:lang w:val="sq-AL"/>
        </w:rPr>
        <w:t>.</w:t>
      </w:r>
    </w:p>
    <w:p w14:paraId="5CC02FD6" w14:textId="4E5F4CFF" w:rsidR="00AD14CB" w:rsidRPr="00991BFE" w:rsidRDefault="00B87062" w:rsidP="00852263">
      <w:pPr>
        <w:widowControl w:val="0"/>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10</w:t>
      </w:r>
      <w:r w:rsidR="00767A50" w:rsidRPr="00991BFE">
        <w:rPr>
          <w:rFonts w:ascii="Times New Roman" w:hAnsi="Times New Roman" w:cs="Times New Roman"/>
          <w:sz w:val="24"/>
          <w:szCs w:val="24"/>
          <w:lang w:val="sq-AL"/>
        </w:rPr>
        <w:t xml:space="preserve">, </w:t>
      </w:r>
      <w:r w:rsidR="00842CD7" w:rsidRPr="00991BFE">
        <w:rPr>
          <w:rFonts w:ascii="Times New Roman" w:hAnsi="Times New Roman" w:cs="Times New Roman"/>
          <w:sz w:val="24"/>
          <w:szCs w:val="24"/>
          <w:lang w:val="sq-AL"/>
        </w:rPr>
        <w:t>përcakton</w:t>
      </w:r>
      <w:r w:rsidR="0011558A"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pasurit</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e paluajtshme </w:t>
      </w:r>
      <w:r w:rsidR="0011558A" w:rsidRPr="00991BFE">
        <w:rPr>
          <w:rFonts w:ascii="Times New Roman" w:hAnsi="Times New Roman" w:cs="Times New Roman"/>
          <w:sz w:val="24"/>
          <w:szCs w:val="24"/>
          <w:lang w:val="sq-AL"/>
        </w:rPr>
        <w:t>q</w:t>
      </w:r>
      <w:r w:rsidR="00842CD7" w:rsidRPr="00991BFE">
        <w:rPr>
          <w:rFonts w:ascii="Times New Roman" w:hAnsi="Times New Roman" w:cs="Times New Roman"/>
          <w:sz w:val="24"/>
          <w:szCs w:val="24"/>
          <w:lang w:val="sq-AL"/>
        </w:rPr>
        <w:t>ë</w:t>
      </w:r>
      <w:r w:rsidR="0011558A" w:rsidRPr="00991BFE">
        <w:rPr>
          <w:rFonts w:ascii="Times New Roman" w:hAnsi="Times New Roman" w:cs="Times New Roman"/>
          <w:sz w:val="24"/>
          <w:szCs w:val="24"/>
          <w:lang w:val="sq-AL"/>
        </w:rPr>
        <w:t xml:space="preserve"> p</w:t>
      </w:r>
      <w:r w:rsidR="00842CD7" w:rsidRPr="00991BFE">
        <w:rPr>
          <w:rFonts w:ascii="Times New Roman" w:hAnsi="Times New Roman" w:cs="Times New Roman"/>
          <w:sz w:val="24"/>
          <w:szCs w:val="24"/>
          <w:lang w:val="sq-AL"/>
        </w:rPr>
        <w:t>ë</w:t>
      </w:r>
      <w:r w:rsidR="0011558A" w:rsidRPr="00991BFE">
        <w:rPr>
          <w:rFonts w:ascii="Times New Roman" w:hAnsi="Times New Roman" w:cs="Times New Roman"/>
          <w:sz w:val="24"/>
          <w:szCs w:val="24"/>
          <w:lang w:val="sq-AL"/>
        </w:rPr>
        <w:t>rjashtohen nga detyrimi p</w:t>
      </w:r>
      <w:r w:rsidR="00842CD7" w:rsidRPr="00991BFE">
        <w:rPr>
          <w:rFonts w:ascii="Times New Roman" w:hAnsi="Times New Roman" w:cs="Times New Roman"/>
          <w:sz w:val="24"/>
          <w:szCs w:val="24"/>
          <w:lang w:val="sq-AL"/>
        </w:rPr>
        <w:t>ë</w:t>
      </w:r>
      <w:r w:rsidR="0011558A" w:rsidRPr="00991BFE">
        <w:rPr>
          <w:rFonts w:ascii="Times New Roman" w:hAnsi="Times New Roman" w:cs="Times New Roman"/>
          <w:sz w:val="24"/>
          <w:szCs w:val="24"/>
          <w:lang w:val="sq-AL"/>
        </w:rPr>
        <w:t>r t</w:t>
      </w:r>
      <w:r w:rsidR="00842CD7" w:rsidRPr="00991BFE">
        <w:rPr>
          <w:rFonts w:ascii="Times New Roman" w:hAnsi="Times New Roman" w:cs="Times New Roman"/>
          <w:sz w:val="24"/>
          <w:szCs w:val="24"/>
          <w:lang w:val="sq-AL"/>
        </w:rPr>
        <w:t>ë</w:t>
      </w:r>
      <w:r w:rsidR="0011558A" w:rsidRPr="00991BFE">
        <w:rPr>
          <w:rFonts w:ascii="Times New Roman" w:hAnsi="Times New Roman" w:cs="Times New Roman"/>
          <w:sz w:val="24"/>
          <w:szCs w:val="24"/>
          <w:lang w:val="sq-AL"/>
        </w:rPr>
        <w:t xml:space="preserve"> paguar taks</w:t>
      </w:r>
      <w:r w:rsidR="00842CD7" w:rsidRPr="00991BFE">
        <w:rPr>
          <w:rFonts w:ascii="Times New Roman" w:hAnsi="Times New Roman" w:cs="Times New Roman"/>
          <w:sz w:val="24"/>
          <w:szCs w:val="24"/>
          <w:lang w:val="sq-AL"/>
        </w:rPr>
        <w:t>ë</w:t>
      </w:r>
      <w:r w:rsidR="0011558A" w:rsidRPr="00991BFE">
        <w:rPr>
          <w:rFonts w:ascii="Times New Roman" w:hAnsi="Times New Roman" w:cs="Times New Roman"/>
          <w:sz w:val="24"/>
          <w:szCs w:val="24"/>
          <w:lang w:val="sq-AL"/>
        </w:rPr>
        <w:t>n e</w:t>
      </w:r>
      <w:r w:rsidR="00367CD8" w:rsidRPr="00991BFE">
        <w:rPr>
          <w:rFonts w:ascii="Times New Roman" w:hAnsi="Times New Roman" w:cs="Times New Roman"/>
          <w:sz w:val="24"/>
          <w:szCs w:val="24"/>
          <w:lang w:val="sq-AL"/>
        </w:rPr>
        <w:t xml:space="preserve"> pasurisë</w:t>
      </w:r>
      <w:r w:rsidR="0011558A" w:rsidRPr="00991BFE">
        <w:rPr>
          <w:rFonts w:ascii="Times New Roman" w:hAnsi="Times New Roman" w:cs="Times New Roman"/>
          <w:sz w:val="24"/>
          <w:szCs w:val="24"/>
          <w:lang w:val="sq-AL"/>
        </w:rPr>
        <w:t xml:space="preserve">. </w:t>
      </w:r>
      <w:r w:rsidR="00AD14CB" w:rsidRPr="00991BFE">
        <w:rPr>
          <w:rFonts w:ascii="Times New Roman" w:hAnsi="Times New Roman" w:cs="Times New Roman"/>
          <w:sz w:val="24"/>
          <w:szCs w:val="24"/>
          <w:lang w:val="sq-AL"/>
        </w:rPr>
        <w:t xml:space="preserve">Kështu do të përjashtohen nga taksa </w:t>
      </w:r>
      <w:r w:rsidR="00C0114C" w:rsidRPr="00991BFE">
        <w:rPr>
          <w:rFonts w:ascii="Times New Roman" w:hAnsi="Times New Roman" w:cs="Times New Roman"/>
          <w:sz w:val="24"/>
          <w:szCs w:val="24"/>
          <w:lang w:val="sq-AL"/>
        </w:rPr>
        <w:t>mbi</w:t>
      </w:r>
      <w:r w:rsidR="00AD14CB" w:rsidRPr="00991BFE">
        <w:rPr>
          <w:rFonts w:ascii="Times New Roman" w:hAnsi="Times New Roman" w:cs="Times New Roman"/>
          <w:sz w:val="24"/>
          <w:szCs w:val="24"/>
          <w:lang w:val="sq-AL"/>
        </w:rPr>
        <w:t xml:space="preserve"> pasuri</w:t>
      </w:r>
      <w:r w:rsidR="00C0114C" w:rsidRPr="00991BFE">
        <w:rPr>
          <w:rFonts w:ascii="Times New Roman" w:hAnsi="Times New Roman" w:cs="Times New Roman"/>
          <w:sz w:val="24"/>
          <w:szCs w:val="24"/>
          <w:lang w:val="sq-AL"/>
        </w:rPr>
        <w:t>n</w:t>
      </w:r>
      <w:r w:rsidR="00AD14CB" w:rsidRPr="00991BFE">
        <w:rPr>
          <w:rFonts w:ascii="Times New Roman" w:hAnsi="Times New Roman" w:cs="Times New Roman"/>
          <w:sz w:val="24"/>
          <w:szCs w:val="24"/>
          <w:lang w:val="sq-AL"/>
        </w:rPr>
        <w:t>ë</w:t>
      </w:r>
      <w:r w:rsidR="00C0114C" w:rsidRPr="00991BFE">
        <w:rPr>
          <w:rFonts w:ascii="Times New Roman" w:hAnsi="Times New Roman" w:cs="Times New Roman"/>
          <w:sz w:val="24"/>
          <w:szCs w:val="24"/>
          <w:lang w:val="sq-AL"/>
        </w:rPr>
        <w:t xml:space="preserve"> e paluajtshme</w:t>
      </w:r>
      <w:r w:rsidR="00AD14CB" w:rsidRPr="00991BFE">
        <w:rPr>
          <w:rFonts w:ascii="Times New Roman" w:hAnsi="Times New Roman" w:cs="Times New Roman"/>
          <w:sz w:val="24"/>
          <w:szCs w:val="24"/>
          <w:lang w:val="sq-AL"/>
        </w:rPr>
        <w:t xml:space="preserve">: </w:t>
      </w:r>
      <w:r w:rsidR="00C229E0" w:rsidRPr="00991BFE">
        <w:rPr>
          <w:rFonts w:ascii="Times New Roman" w:hAnsi="Times New Roman" w:cs="Times New Roman"/>
          <w:sz w:val="24"/>
          <w:szCs w:val="24"/>
          <w:lang w:val="sq-AL"/>
        </w:rPr>
        <w:t xml:space="preserve">a) Pasuritë e paluajtshme shtetërore;  b) Pasuritë e paluajtshme fetare;  c) Ndërtesat e papërfunduara, që në 31 dhjetor të vitit, para vitit tatimor, janë duke u ndërtuar në përputhje dhe brenda afatit të ndërtimit, të përcaktuar në lejen e ndërtimit;  ç) Strukturat akomoduese, “Hotel/Resort me katër dhe pesë yje, status special”, sipas përcaktimit në legjislacionin e fushës së turizmit, që janë mbajtës të një marke tregtare të regjistruar dhe njohur ndërkombëtarisht “brand name”, së bashku me parcelën, pjesën takuese të parcelës ku ndodhet struktura akomoduese ose pjesën takuese të sipërfaqeve të përbashkëta në bashkëpronësi apo bashkë-posedim të detyrueshëm, në rastet kur struktura akomoduese është pjesë e një ndërtimi kolektiv. Përjashtimi i parashikuar </w:t>
      </w:r>
      <w:r w:rsidR="00BE399D">
        <w:rPr>
          <w:rFonts w:ascii="Times New Roman" w:hAnsi="Times New Roman" w:cs="Times New Roman"/>
          <w:sz w:val="24"/>
          <w:szCs w:val="24"/>
          <w:lang w:val="sq-AL"/>
        </w:rPr>
        <w:t>për strukturat akom</w:t>
      </w:r>
      <w:r w:rsidR="00B1119F">
        <w:rPr>
          <w:rFonts w:ascii="Times New Roman" w:hAnsi="Times New Roman" w:cs="Times New Roman"/>
          <w:sz w:val="24"/>
          <w:szCs w:val="24"/>
          <w:lang w:val="sq-AL"/>
        </w:rPr>
        <w:t>o</w:t>
      </w:r>
      <w:r w:rsidR="00BE399D">
        <w:rPr>
          <w:rFonts w:ascii="Times New Roman" w:hAnsi="Times New Roman" w:cs="Times New Roman"/>
          <w:sz w:val="24"/>
          <w:szCs w:val="24"/>
          <w:lang w:val="sq-AL"/>
        </w:rPr>
        <w:t xml:space="preserve">duese </w:t>
      </w:r>
      <w:r w:rsidR="00C229E0" w:rsidRPr="00991BFE">
        <w:rPr>
          <w:rFonts w:ascii="Times New Roman" w:hAnsi="Times New Roman" w:cs="Times New Roman"/>
          <w:sz w:val="24"/>
          <w:szCs w:val="24"/>
          <w:lang w:val="sq-AL"/>
        </w:rPr>
        <w:t xml:space="preserve">zbatohet për një periudhë 10 (dhjetë)-vjeçare, dhe efektet e tij nisin nga viti i fillimit të veprimtarisë ekonomike të strukturës akomoduese, por në </w:t>
      </w:r>
      <w:r w:rsidR="00991BFE" w:rsidRPr="00991BFE">
        <w:rPr>
          <w:rFonts w:ascii="Times New Roman" w:hAnsi="Times New Roman" w:cs="Times New Roman"/>
          <w:sz w:val="24"/>
          <w:szCs w:val="24"/>
          <w:lang w:val="sq-AL"/>
        </w:rPr>
        <w:t>çdo</w:t>
      </w:r>
      <w:r w:rsidR="00C229E0" w:rsidRPr="00991BFE">
        <w:rPr>
          <w:rFonts w:ascii="Times New Roman" w:hAnsi="Times New Roman" w:cs="Times New Roman"/>
          <w:sz w:val="24"/>
          <w:szCs w:val="24"/>
          <w:lang w:val="sq-AL"/>
        </w:rPr>
        <w:t xml:space="preserve"> rast, jo më vonë se 3 (tre) vjet nga viti kur është përfituar statusi special; d) Banesat e deklaruara si vendbanim, në pronësi ose posedim të kryefamiljarëve, kur këta të fundit trajtohen me ndihmë ekonomike; dh) Banesat e deklaruara si vendbanim, në pronësi ose posedim të kryefamiljarëve që përfitojnë vetëm pension pleqërie, pension invaliditeti apo pension social, kur familja e tyre përbëhet vetëm nga pensionistë, ose dhe me persona në ngarkim të tyre, që janë të paaftë për punë; e) Banesat sociale në pronësinë e pushtetit vendor, si dhe banesat në pronësinë e pushtetit qendror dhe personave privatë, që në bazë të marrëveshjeve me Bashkitë, përdoren si banesa sociale; ë) Pasuritë e paluajtshme në pronësi të përfaqësive diplomatike dhe konsullore, që përdoren ekskluzivisht për ushtrimin e veprimtarisë së tyre zyrtare. Përjashtimi zbatohet vetëm në rastet kur shteti përkatës i siguron përfaqësive diplomatike dhe konsullore të Republikës së Shqipërisë trajtim të njëjtë, në përputhje me marrëveshjet ndërkombëtare në fuqi</w:t>
      </w:r>
      <w:r w:rsidR="00595AAA">
        <w:rPr>
          <w:rFonts w:ascii="Times New Roman" w:hAnsi="Times New Roman" w:cs="Times New Roman"/>
          <w:sz w:val="24"/>
          <w:szCs w:val="24"/>
          <w:lang w:val="sq-AL"/>
        </w:rPr>
        <w:t>;</w:t>
      </w:r>
      <w:r w:rsidR="00C229E0" w:rsidRPr="00991BFE">
        <w:rPr>
          <w:rFonts w:ascii="Times New Roman" w:hAnsi="Times New Roman" w:cs="Times New Roman"/>
          <w:sz w:val="24"/>
          <w:szCs w:val="24"/>
          <w:lang w:val="sq-AL"/>
        </w:rPr>
        <w:t xml:space="preserve"> f) Infrastruktura lineare sipas përkufizimit të dhënë në</w:t>
      </w:r>
      <w:r w:rsidR="00EA1064">
        <w:rPr>
          <w:rFonts w:ascii="Times New Roman" w:hAnsi="Times New Roman" w:cs="Times New Roman"/>
          <w:sz w:val="24"/>
          <w:szCs w:val="24"/>
          <w:lang w:val="sq-AL"/>
        </w:rPr>
        <w:t xml:space="preserve"> nenin 3</w:t>
      </w:r>
      <w:r w:rsidR="0017310D">
        <w:rPr>
          <w:rFonts w:ascii="Times New Roman" w:hAnsi="Times New Roman" w:cs="Times New Roman"/>
          <w:sz w:val="24"/>
          <w:szCs w:val="24"/>
          <w:lang w:val="sq-AL"/>
        </w:rPr>
        <w:t xml:space="preserve"> të projektligjit</w:t>
      </w:r>
      <w:r w:rsidR="00C229E0" w:rsidRPr="00991BFE">
        <w:rPr>
          <w:rFonts w:ascii="Times New Roman" w:hAnsi="Times New Roman" w:cs="Times New Roman"/>
          <w:sz w:val="24"/>
          <w:szCs w:val="24"/>
          <w:lang w:val="sq-AL"/>
        </w:rPr>
        <w:t>; g)  Çdo pasuri e paluajtshme për të cilën parashikohet përjashtim nga taksa mbi pasurinë e paluajtshme sipas dispozitave të ligjeve të tjera në fuqi.</w:t>
      </w:r>
    </w:p>
    <w:p w14:paraId="49650DED" w14:textId="073F2F23" w:rsidR="00C229E0" w:rsidRPr="00991BFE" w:rsidRDefault="00C229E0" w:rsidP="00C229E0">
      <w:pPr>
        <w:widowControl w:val="0"/>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Megjithat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parashikimet në germat “a”, “b” dhe “c”, të pikës 3, të neni</w:t>
      </w:r>
      <w:r w:rsidR="00B1119F">
        <w:rPr>
          <w:rFonts w:ascii="Times New Roman" w:hAnsi="Times New Roman" w:cs="Times New Roman"/>
          <w:sz w:val="24"/>
          <w:szCs w:val="24"/>
          <w:lang w:val="sq-AL"/>
        </w:rPr>
        <w:t>t 10</w:t>
      </w:r>
      <w:r w:rsidRPr="00991BFE">
        <w:rPr>
          <w:rFonts w:ascii="Times New Roman" w:hAnsi="Times New Roman" w:cs="Times New Roman"/>
          <w:sz w:val="24"/>
          <w:szCs w:val="24"/>
          <w:lang w:val="sq-AL"/>
        </w:rPr>
        <w:t>, nuk zbatohen për banesat sociale në pronësinë e pushtetit vendor, si dhe banesat në pronësinë e pushtetit qendror dhe pronësinë e personave privatë, që në bazë të marrëveshjeve me Bashkitë, përdoren si banesa sociale.</w:t>
      </w:r>
    </w:p>
    <w:p w14:paraId="24599038" w14:textId="1E000066" w:rsidR="00EB4BE1" w:rsidRPr="00991BFE" w:rsidRDefault="00AD14CB" w:rsidP="00C229E0">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 xml:space="preserve">Vlen të theksohet këtu se për arsye të lidhura me drejtësinë dhe barazinë e sistemit të taksimit,  </w:t>
      </w:r>
      <w:r w:rsidR="002A082F" w:rsidRPr="00991BFE">
        <w:rPr>
          <w:rFonts w:ascii="Times New Roman" w:hAnsi="Times New Roman" w:cs="Times New Roman"/>
          <w:sz w:val="24"/>
          <w:szCs w:val="24"/>
          <w:lang w:val="sq-AL"/>
        </w:rPr>
        <w:t>përjashtimi nga taksa nuk</w:t>
      </w:r>
      <w:r w:rsidR="008F2CA4" w:rsidRPr="00991BFE">
        <w:rPr>
          <w:rFonts w:ascii="Times New Roman" w:hAnsi="Times New Roman" w:cs="Times New Roman"/>
          <w:sz w:val="24"/>
          <w:szCs w:val="24"/>
          <w:lang w:val="sq-AL"/>
        </w:rPr>
        <w:t xml:space="preserve"> do të </w:t>
      </w:r>
      <w:r w:rsidR="002A082F" w:rsidRPr="00991BFE">
        <w:rPr>
          <w:rFonts w:ascii="Times New Roman" w:hAnsi="Times New Roman" w:cs="Times New Roman"/>
          <w:sz w:val="24"/>
          <w:szCs w:val="24"/>
          <w:lang w:val="sq-AL"/>
        </w:rPr>
        <w:t xml:space="preserve"> zbatohet për</w:t>
      </w:r>
      <w:r w:rsidR="00E002C3" w:rsidRPr="00991BFE">
        <w:rPr>
          <w:rFonts w:ascii="Times New Roman" w:hAnsi="Times New Roman" w:cs="Times New Roman"/>
          <w:sz w:val="24"/>
          <w:szCs w:val="24"/>
          <w:lang w:val="sq-AL"/>
        </w:rPr>
        <w:t>:</w:t>
      </w:r>
      <w:r w:rsidRPr="00991BFE">
        <w:rPr>
          <w:rFonts w:ascii="Times New Roman" w:hAnsi="Times New Roman" w:cs="Times New Roman"/>
          <w:sz w:val="24"/>
          <w:szCs w:val="24"/>
          <w:lang w:val="sq-AL"/>
        </w:rPr>
        <w:t xml:space="preserve"> </w:t>
      </w:r>
      <w:r w:rsidR="00C229E0" w:rsidRPr="00991BFE">
        <w:rPr>
          <w:rFonts w:ascii="Times New Roman" w:hAnsi="Times New Roman" w:cs="Times New Roman"/>
          <w:sz w:val="24"/>
          <w:szCs w:val="24"/>
          <w:lang w:val="sq-AL"/>
        </w:rPr>
        <w:t>a) Pasuritë e paluajtshme shtetërore që janë dhënë me qira, enfiteozë ose përmes ndonjë forme tjetër përdorimi, te personat privatë;  b) Pasuritë e paluajtshme në pronësinë ose posedimin e pushteti qendror, që përdoren për qëllime fitimprurëse;  c) Pasuritë e paluajtshme në pronësinë, administrimin ose përdorimin e shoqërive dhe ndërmarrjeve shtetërore, që përdoren për qëllime fitimprurëse; ç) Parcelat ose pjesë të parcelave në pronësinë e shtetit, ku janë ndërtuar një apo më shumë njësi të ndërtesave me apo pa dokument pronësie, nga posedues ose pronarë të tjerë, të ndryshëm nga pronarët e parcelave; dhe d) Parcelat në pronësinë e shtetit që i janë dhënë në përdorim individëve, përmes aktit të marrjes në përdorim, të lëshuar nga organet kompetente, të përcaktuara në aktet ligjore dhe nënligjore që rregullojnë pronësinë mbi tokën bujqësore</w:t>
      </w:r>
      <w:r w:rsidR="002A082F" w:rsidRPr="00991BFE">
        <w:rPr>
          <w:rFonts w:ascii="Times New Roman" w:hAnsi="Times New Roman" w:cs="Times New Roman"/>
          <w:sz w:val="24"/>
          <w:szCs w:val="24"/>
          <w:lang w:val="sq-AL"/>
        </w:rPr>
        <w:t>. N</w:t>
      </w:r>
      <w:r w:rsidR="0011225A" w:rsidRPr="00991BFE">
        <w:rPr>
          <w:rFonts w:ascii="Times New Roman" w:hAnsi="Times New Roman" w:cs="Times New Roman"/>
          <w:sz w:val="24"/>
          <w:szCs w:val="24"/>
          <w:lang w:val="sq-AL"/>
        </w:rPr>
        <w:t>ë</w:t>
      </w:r>
      <w:r w:rsidR="002A082F" w:rsidRPr="00991BFE">
        <w:rPr>
          <w:rFonts w:ascii="Times New Roman" w:hAnsi="Times New Roman" w:cs="Times New Roman"/>
          <w:sz w:val="24"/>
          <w:szCs w:val="24"/>
          <w:lang w:val="sq-AL"/>
        </w:rPr>
        <w:t xml:space="preserve"> k</w:t>
      </w:r>
      <w:r w:rsidR="0011225A" w:rsidRPr="00991BFE">
        <w:rPr>
          <w:rFonts w:ascii="Times New Roman" w:hAnsi="Times New Roman" w:cs="Times New Roman"/>
          <w:sz w:val="24"/>
          <w:szCs w:val="24"/>
          <w:lang w:val="sq-AL"/>
        </w:rPr>
        <w:t>ë</w:t>
      </w:r>
      <w:r w:rsidR="002A082F" w:rsidRPr="00991BFE">
        <w:rPr>
          <w:rFonts w:ascii="Times New Roman" w:hAnsi="Times New Roman" w:cs="Times New Roman"/>
          <w:sz w:val="24"/>
          <w:szCs w:val="24"/>
          <w:lang w:val="sq-AL"/>
        </w:rPr>
        <w:t xml:space="preserve">to raste, </w:t>
      </w:r>
      <w:r w:rsidR="00C229E0" w:rsidRPr="00991BFE">
        <w:rPr>
          <w:rFonts w:ascii="Times New Roman" w:hAnsi="Times New Roman" w:cs="Times New Roman"/>
          <w:sz w:val="24"/>
          <w:szCs w:val="24"/>
          <w:lang w:val="sq-AL"/>
        </w:rPr>
        <w:t>pasuritë e paluajtshme klasifikohen në kategoritë  përkatëse të vlerësimit  dhe taksimit, në përputhje me rregullat që përcaktohen në metodologjinë që miraton Këshilli i Ministrave, në zbatim të pikës 4, të nenit 17, të projektligji</w:t>
      </w:r>
      <w:r w:rsidR="00EA1064">
        <w:rPr>
          <w:rFonts w:ascii="Times New Roman" w:hAnsi="Times New Roman" w:cs="Times New Roman"/>
          <w:sz w:val="24"/>
          <w:szCs w:val="24"/>
          <w:lang w:val="sq-AL"/>
        </w:rPr>
        <w:t>t</w:t>
      </w:r>
      <w:r w:rsidR="00C229E0" w:rsidRPr="00991BFE">
        <w:rPr>
          <w:rFonts w:ascii="Times New Roman" w:hAnsi="Times New Roman" w:cs="Times New Roman"/>
          <w:sz w:val="24"/>
          <w:szCs w:val="24"/>
          <w:lang w:val="sq-AL"/>
        </w:rPr>
        <w:t>.</w:t>
      </w:r>
    </w:p>
    <w:p w14:paraId="7AB29B12" w14:textId="07A74182" w:rsidR="00362539" w:rsidRPr="00991BFE" w:rsidRDefault="00B85942" w:rsidP="00362539">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w:t>
      </w:r>
      <w:r w:rsidR="00B87062" w:rsidRPr="00991BFE">
        <w:rPr>
          <w:rFonts w:ascii="Times New Roman" w:hAnsi="Times New Roman" w:cs="Times New Roman"/>
          <w:b/>
          <w:sz w:val="24"/>
          <w:szCs w:val="24"/>
          <w:lang w:val="sq-AL"/>
        </w:rPr>
        <w:t>eni 11</w:t>
      </w:r>
      <w:r w:rsidRPr="00991BFE">
        <w:rPr>
          <w:rFonts w:ascii="Times New Roman" w:hAnsi="Times New Roman" w:cs="Times New Roman"/>
          <w:b/>
          <w:sz w:val="24"/>
          <w:szCs w:val="24"/>
          <w:lang w:val="sq-AL"/>
        </w:rPr>
        <w:t>,</w:t>
      </w:r>
      <w:r w:rsidRPr="00991BFE">
        <w:rPr>
          <w:rFonts w:ascii="Times New Roman" w:hAnsi="Times New Roman" w:cs="Times New Roman"/>
          <w:sz w:val="24"/>
          <w:szCs w:val="24"/>
          <w:lang w:val="sq-AL"/>
        </w:rPr>
        <w:t xml:space="preserve"> </w:t>
      </w:r>
      <w:r w:rsidR="009E2B0B" w:rsidRPr="00991BFE">
        <w:rPr>
          <w:rFonts w:ascii="Times New Roman" w:hAnsi="Times New Roman" w:cs="Times New Roman"/>
          <w:sz w:val="24"/>
          <w:szCs w:val="24"/>
          <w:lang w:val="sq-AL"/>
        </w:rPr>
        <w:t>p</w:t>
      </w:r>
      <w:r w:rsidR="00F952C9" w:rsidRPr="00991BFE">
        <w:rPr>
          <w:rFonts w:ascii="Times New Roman" w:hAnsi="Times New Roman" w:cs="Times New Roman"/>
          <w:sz w:val="24"/>
          <w:szCs w:val="24"/>
          <w:lang w:val="sq-AL"/>
        </w:rPr>
        <w:t>ë</w:t>
      </w:r>
      <w:r w:rsidR="00B87062" w:rsidRPr="00991BFE">
        <w:rPr>
          <w:rFonts w:ascii="Times New Roman" w:hAnsi="Times New Roman" w:cs="Times New Roman"/>
          <w:sz w:val="24"/>
          <w:szCs w:val="24"/>
          <w:lang w:val="sq-AL"/>
        </w:rPr>
        <w:t xml:space="preserve">rcakton </w:t>
      </w:r>
      <w:r w:rsidR="00502231" w:rsidRPr="00991BFE">
        <w:rPr>
          <w:rFonts w:ascii="Times New Roman" w:hAnsi="Times New Roman" w:cs="Times New Roman"/>
          <w:sz w:val="24"/>
          <w:szCs w:val="24"/>
          <w:lang w:val="sq-AL"/>
        </w:rPr>
        <w:t xml:space="preserve">se pasuritë e paluajtshme klasifikohen në </w:t>
      </w:r>
      <w:r w:rsidR="00F14526" w:rsidRPr="00991BFE">
        <w:rPr>
          <w:rFonts w:ascii="Times New Roman" w:hAnsi="Times New Roman" w:cs="Times New Roman"/>
          <w:sz w:val="24"/>
          <w:szCs w:val="24"/>
          <w:lang w:val="sq-AL"/>
        </w:rPr>
        <w:t>kategori vlerësimi dhe kategori taksimi</w:t>
      </w:r>
      <w:r w:rsidR="00502231" w:rsidRPr="00991BFE">
        <w:rPr>
          <w:rFonts w:ascii="Times New Roman" w:hAnsi="Times New Roman" w:cs="Times New Roman"/>
          <w:sz w:val="24"/>
          <w:szCs w:val="24"/>
          <w:lang w:val="sq-AL"/>
        </w:rPr>
        <w:t xml:space="preserve">. </w:t>
      </w:r>
      <w:r w:rsidR="00362539" w:rsidRPr="00991BFE">
        <w:rPr>
          <w:rFonts w:ascii="Times New Roman" w:hAnsi="Times New Roman" w:cs="Times New Roman"/>
          <w:sz w:val="24"/>
          <w:szCs w:val="24"/>
          <w:lang w:val="sq-AL"/>
        </w:rPr>
        <w:t xml:space="preserve"> Neni përcakton </w:t>
      </w:r>
      <w:r w:rsidR="007D7496" w:rsidRPr="00991BFE">
        <w:rPr>
          <w:rFonts w:ascii="Times New Roman" w:hAnsi="Times New Roman" w:cs="Times New Roman"/>
          <w:sz w:val="24"/>
          <w:szCs w:val="24"/>
          <w:lang w:val="sq-AL"/>
        </w:rPr>
        <w:t>gjasht</w:t>
      </w:r>
      <w:r w:rsidR="00362539" w:rsidRPr="00991BFE">
        <w:rPr>
          <w:rFonts w:ascii="Times New Roman" w:hAnsi="Times New Roman" w:cs="Times New Roman"/>
          <w:sz w:val="24"/>
          <w:szCs w:val="24"/>
          <w:lang w:val="sq-AL"/>
        </w:rPr>
        <w:t xml:space="preserve">ë kategori </w:t>
      </w:r>
      <w:r w:rsidR="007D7496" w:rsidRPr="00991BFE">
        <w:rPr>
          <w:rFonts w:ascii="Times New Roman" w:hAnsi="Times New Roman" w:cs="Times New Roman"/>
          <w:sz w:val="24"/>
          <w:szCs w:val="24"/>
          <w:lang w:val="sq-AL"/>
        </w:rPr>
        <w:t>taksimi</w:t>
      </w:r>
      <w:r w:rsidR="00362539" w:rsidRPr="00991BFE">
        <w:rPr>
          <w:rFonts w:ascii="Times New Roman" w:hAnsi="Times New Roman" w:cs="Times New Roman"/>
          <w:sz w:val="24"/>
          <w:szCs w:val="24"/>
          <w:lang w:val="sq-AL"/>
        </w:rPr>
        <w:t>, si më poshtë:</w:t>
      </w:r>
    </w:p>
    <w:p w14:paraId="3BAA3E64" w14:textId="7CEB0C7A" w:rsidR="00362539" w:rsidRPr="00991BFE" w:rsidRDefault="007D7496" w:rsidP="007D749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a) Tokë bujqësore-blegtorale; b) Tokë pyjore; c) Tokë truall; ç) Tokë për përdorime të tjera; d) Ndërtesë për banim; dh) Ndërtesë për veprimtari ekonomike</w:t>
      </w:r>
      <w:r w:rsidR="00362539" w:rsidRPr="00991BFE">
        <w:rPr>
          <w:rFonts w:ascii="Times New Roman" w:hAnsi="Times New Roman" w:cs="Times New Roman"/>
          <w:sz w:val="24"/>
          <w:szCs w:val="24"/>
          <w:lang w:val="sq-AL"/>
        </w:rPr>
        <w:t>.</w:t>
      </w:r>
    </w:p>
    <w:p w14:paraId="571F5894" w14:textId="681FCC65" w:rsidR="00502231" w:rsidRPr="00991BFE" w:rsidRDefault="00072A1C" w:rsidP="00431093">
      <w:pPr>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Në vijim, neni </w:t>
      </w:r>
      <w:r w:rsidR="00362539" w:rsidRPr="00991BFE">
        <w:rPr>
          <w:rFonts w:ascii="Times New Roman" w:hAnsi="Times New Roman" w:cs="Times New Roman"/>
          <w:sz w:val="24"/>
          <w:szCs w:val="24"/>
          <w:lang w:val="sq-AL"/>
        </w:rPr>
        <w:t>përcakton</w:t>
      </w:r>
      <w:r w:rsidRPr="00991BFE">
        <w:rPr>
          <w:rFonts w:ascii="Times New Roman" w:hAnsi="Times New Roman" w:cs="Times New Roman"/>
          <w:sz w:val="24"/>
          <w:szCs w:val="24"/>
          <w:lang w:val="sq-AL"/>
        </w:rPr>
        <w:t xml:space="preserve"> </w:t>
      </w:r>
      <w:r w:rsidR="007D7496" w:rsidRPr="00991BFE">
        <w:rPr>
          <w:rFonts w:ascii="Times New Roman" w:hAnsi="Times New Roman" w:cs="Times New Roman"/>
          <w:sz w:val="24"/>
          <w:szCs w:val="24"/>
          <w:lang w:val="sq-AL"/>
        </w:rPr>
        <w:t>se kategoritë e vlerësimit</w:t>
      </w:r>
      <w:r w:rsidRPr="00991BFE">
        <w:rPr>
          <w:rFonts w:ascii="Times New Roman" w:hAnsi="Times New Roman" w:cs="Times New Roman"/>
          <w:sz w:val="24"/>
          <w:szCs w:val="24"/>
          <w:lang w:val="sq-AL"/>
        </w:rPr>
        <w:t xml:space="preserve"> janë nën</w:t>
      </w:r>
      <w:r w:rsidR="00362539" w:rsidRPr="00991BFE">
        <w:rPr>
          <w:rFonts w:ascii="Times New Roman" w:hAnsi="Times New Roman" w:cs="Times New Roman"/>
          <w:sz w:val="24"/>
          <w:szCs w:val="24"/>
          <w:lang w:val="sq-AL"/>
        </w:rPr>
        <w:t xml:space="preserve"> ndarje të kategorive të </w:t>
      </w:r>
      <w:r w:rsidR="007D7496" w:rsidRPr="00991BFE">
        <w:rPr>
          <w:rFonts w:ascii="Times New Roman" w:hAnsi="Times New Roman" w:cs="Times New Roman"/>
          <w:sz w:val="24"/>
          <w:szCs w:val="24"/>
          <w:lang w:val="sq-AL"/>
        </w:rPr>
        <w:t>taksimit</w:t>
      </w:r>
      <w:r w:rsidR="00431093" w:rsidRPr="00991BFE">
        <w:rPr>
          <w:rFonts w:ascii="Times New Roman" w:hAnsi="Times New Roman" w:cs="Times New Roman"/>
          <w:sz w:val="24"/>
          <w:szCs w:val="24"/>
          <w:lang w:val="sq-AL"/>
        </w:rPr>
        <w:t>, si</w:t>
      </w:r>
      <w:r w:rsidRPr="00991BFE">
        <w:rPr>
          <w:rFonts w:ascii="Times New Roman" w:hAnsi="Times New Roman" w:cs="Times New Roman"/>
          <w:sz w:val="24"/>
          <w:szCs w:val="24"/>
          <w:lang w:val="sq-AL"/>
        </w:rPr>
        <w:t xml:space="preserve"> dhe </w:t>
      </w:r>
      <w:r w:rsidR="00362539" w:rsidRPr="00991BFE">
        <w:rPr>
          <w:rFonts w:ascii="Times New Roman" w:hAnsi="Times New Roman" w:cs="Times New Roman"/>
          <w:sz w:val="24"/>
          <w:szCs w:val="24"/>
          <w:lang w:val="sq-AL"/>
        </w:rPr>
        <w:t xml:space="preserve">parashikon </w:t>
      </w:r>
      <w:r w:rsidRPr="00991BFE">
        <w:rPr>
          <w:rFonts w:ascii="Times New Roman" w:hAnsi="Times New Roman" w:cs="Times New Roman"/>
          <w:sz w:val="24"/>
          <w:szCs w:val="24"/>
          <w:lang w:val="sq-AL"/>
        </w:rPr>
        <w:t xml:space="preserve">përcaktimin e </w:t>
      </w:r>
      <w:r w:rsidR="00431093" w:rsidRPr="00991BFE">
        <w:rPr>
          <w:rFonts w:ascii="Times New Roman" w:hAnsi="Times New Roman" w:cs="Times New Roman"/>
          <w:sz w:val="24"/>
          <w:szCs w:val="24"/>
          <w:lang w:val="sq-AL"/>
        </w:rPr>
        <w:t>kategorive 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vlerësimit, dhe rregullave për klasifikimin e pasurive të paluajtshme, në kategori të ndryshme të vlerësimit dhe taksimit</w:t>
      </w:r>
      <w:r w:rsidRPr="00991BFE">
        <w:rPr>
          <w:rFonts w:ascii="Times New Roman" w:hAnsi="Times New Roman" w:cs="Times New Roman"/>
          <w:sz w:val="24"/>
          <w:szCs w:val="24"/>
          <w:lang w:val="sq-AL"/>
        </w:rPr>
        <w:t xml:space="preserve"> në metodologjinë që</w:t>
      </w:r>
      <w:r w:rsidR="00E002C3" w:rsidRPr="00991BFE">
        <w:rPr>
          <w:rFonts w:ascii="Times New Roman" w:hAnsi="Times New Roman" w:cs="Times New Roman"/>
          <w:sz w:val="24"/>
          <w:szCs w:val="24"/>
          <w:lang w:val="sq-AL"/>
        </w:rPr>
        <w:t xml:space="preserve"> parashikohet të miratohet</w:t>
      </w:r>
      <w:r w:rsidR="00362539" w:rsidRPr="00991BFE">
        <w:rPr>
          <w:rFonts w:ascii="Times New Roman" w:hAnsi="Times New Roman" w:cs="Times New Roman"/>
          <w:sz w:val="24"/>
          <w:szCs w:val="24"/>
          <w:lang w:val="sq-AL"/>
        </w:rPr>
        <w:t xml:space="preserve">, në zbatim të  </w:t>
      </w:r>
      <w:r w:rsidR="00431093" w:rsidRPr="00991BFE">
        <w:rPr>
          <w:rFonts w:ascii="Times New Roman" w:hAnsi="Times New Roman" w:cs="Times New Roman"/>
          <w:sz w:val="24"/>
          <w:szCs w:val="24"/>
          <w:lang w:val="sq-AL"/>
        </w:rPr>
        <w:t>pikës 4, të nenit 17</w:t>
      </w:r>
      <w:r w:rsidR="00362539" w:rsidRPr="00991BFE">
        <w:rPr>
          <w:rFonts w:ascii="Times New Roman" w:hAnsi="Times New Roman" w:cs="Times New Roman"/>
          <w:sz w:val="24"/>
          <w:szCs w:val="24"/>
          <w:lang w:val="sq-AL"/>
        </w:rPr>
        <w:t>, të projektligjit.</w:t>
      </w:r>
      <w:r w:rsidR="007D7496" w:rsidRPr="00991BFE">
        <w:rPr>
          <w:rFonts w:ascii="Times New Roman" w:hAnsi="Times New Roman" w:cs="Times New Roman"/>
          <w:sz w:val="24"/>
          <w:szCs w:val="24"/>
          <w:lang w:val="sq-AL"/>
        </w:rPr>
        <w:t xml:space="preserve"> </w:t>
      </w:r>
      <w:r w:rsidR="009F5107" w:rsidRPr="00991BFE">
        <w:rPr>
          <w:rFonts w:ascii="Times New Roman" w:hAnsi="Times New Roman" w:cs="Times New Roman"/>
          <w:sz w:val="24"/>
          <w:szCs w:val="24"/>
          <w:lang w:val="sq-AL"/>
        </w:rPr>
        <w:t>Këtu është e rëndësishme të përmendet se parashikimet në ketë nen dhe nenin 12, synojnë edhe rritjen e bazës tatimore, duke parashikuar përfshirjen (</w:t>
      </w:r>
      <w:r w:rsidR="009F5107" w:rsidRPr="00991BFE">
        <w:rPr>
          <w:rFonts w:ascii="Times New Roman" w:hAnsi="Times New Roman" w:cs="Times New Roman"/>
          <w:i/>
          <w:sz w:val="24"/>
          <w:szCs w:val="24"/>
          <w:lang w:val="sq-AL"/>
        </w:rPr>
        <w:t>në kategoritë e pasurive që taksohen</w:t>
      </w:r>
      <w:r w:rsidR="009F5107" w:rsidRPr="00991BFE">
        <w:rPr>
          <w:rFonts w:ascii="Times New Roman" w:hAnsi="Times New Roman" w:cs="Times New Roman"/>
          <w:sz w:val="24"/>
          <w:szCs w:val="24"/>
          <w:lang w:val="sq-AL"/>
        </w:rPr>
        <w:t>), e tokave pyjore, kullotave</w:t>
      </w:r>
      <w:r w:rsidR="00661D85">
        <w:rPr>
          <w:rFonts w:ascii="Times New Roman" w:hAnsi="Times New Roman" w:cs="Times New Roman"/>
          <w:sz w:val="24"/>
          <w:szCs w:val="24"/>
          <w:lang w:val="sq-AL"/>
        </w:rPr>
        <w:t>,</w:t>
      </w:r>
      <w:r w:rsidR="009F5107" w:rsidRPr="00991BFE">
        <w:rPr>
          <w:rFonts w:ascii="Times New Roman" w:hAnsi="Times New Roman" w:cs="Times New Roman"/>
          <w:sz w:val="24"/>
          <w:szCs w:val="24"/>
          <w:lang w:val="sq-AL"/>
        </w:rPr>
        <w:t xml:space="preserve"> livadhe </w:t>
      </w:r>
      <w:r w:rsidR="00661D85">
        <w:rPr>
          <w:rFonts w:ascii="Times New Roman" w:hAnsi="Times New Roman" w:cs="Times New Roman"/>
          <w:sz w:val="24"/>
          <w:szCs w:val="24"/>
          <w:lang w:val="sq-AL"/>
        </w:rPr>
        <w:t xml:space="preserve">dhe tokave ne kategori të tjera </w:t>
      </w:r>
      <w:r w:rsidR="009F5107" w:rsidRPr="00991BFE">
        <w:rPr>
          <w:rFonts w:ascii="Times New Roman" w:hAnsi="Times New Roman" w:cs="Times New Roman"/>
          <w:sz w:val="24"/>
          <w:szCs w:val="24"/>
          <w:lang w:val="sq-AL"/>
        </w:rPr>
        <w:t>që nuk taksohen aktualisht, sipas legjislacioni</w:t>
      </w:r>
      <w:r w:rsidR="0040196A" w:rsidRPr="00991BFE">
        <w:rPr>
          <w:rFonts w:ascii="Times New Roman" w:hAnsi="Times New Roman" w:cs="Times New Roman"/>
          <w:sz w:val="24"/>
          <w:szCs w:val="24"/>
          <w:lang w:val="sq-AL"/>
        </w:rPr>
        <w:t>t në fuqi. T</w:t>
      </w:r>
      <w:r w:rsidR="009F5107" w:rsidRPr="00991BFE">
        <w:rPr>
          <w:rFonts w:ascii="Times New Roman" w:hAnsi="Times New Roman" w:cs="Times New Roman"/>
          <w:sz w:val="24"/>
          <w:szCs w:val="24"/>
          <w:lang w:val="sq-AL"/>
        </w:rPr>
        <w:t xml:space="preserve">okat pyjore do të kenë kategorinë e tyre të veçantë, ndërsa kullotat dhe livadhet do të përfshihen në kategorinë e </w:t>
      </w:r>
      <w:r w:rsidR="00431093" w:rsidRPr="00991BFE">
        <w:rPr>
          <w:rFonts w:ascii="Times New Roman" w:hAnsi="Times New Roman" w:cs="Times New Roman"/>
          <w:sz w:val="24"/>
          <w:szCs w:val="24"/>
          <w:lang w:val="sq-AL"/>
        </w:rPr>
        <w:t>tokave</w:t>
      </w:r>
      <w:r w:rsidR="009F5107" w:rsidRPr="00991BFE">
        <w:rPr>
          <w:rFonts w:ascii="Times New Roman" w:hAnsi="Times New Roman" w:cs="Times New Roman"/>
          <w:sz w:val="24"/>
          <w:szCs w:val="24"/>
          <w:lang w:val="sq-AL"/>
        </w:rPr>
        <w:t xml:space="preserve"> bujqësore-blegtorale.</w:t>
      </w:r>
      <w:r w:rsidR="00431093" w:rsidRPr="00991BFE">
        <w:rPr>
          <w:rFonts w:ascii="Times New Roman" w:hAnsi="Times New Roman" w:cs="Times New Roman"/>
          <w:sz w:val="24"/>
          <w:szCs w:val="24"/>
          <w:lang w:val="sq-AL"/>
        </w:rPr>
        <w:t xml:space="preserve"> Gjithashtu, duke qen</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se aktualisht ekzistojn</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regjistruara n</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Agjencin</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Shtet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rore 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Kadastr</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s (ASHK) parcela pa ndërtesa, 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cilat nuk klasifikohen si tokë bujqësore-blegtorale, tokë pyjore ose tokë truall, </w:t>
      </w:r>
      <w:r w:rsidR="006D047F" w:rsidRPr="00991BFE">
        <w:rPr>
          <w:rFonts w:ascii="Times New Roman" w:hAnsi="Times New Roman" w:cs="Times New Roman"/>
          <w:sz w:val="24"/>
          <w:szCs w:val="24"/>
          <w:lang w:val="sq-AL"/>
        </w:rPr>
        <w:t>atëhere</w:t>
      </w:r>
      <w:r w:rsidR="00431093" w:rsidRPr="00991BFE">
        <w:rPr>
          <w:rFonts w:ascii="Times New Roman" w:hAnsi="Times New Roman" w:cs="Times New Roman"/>
          <w:sz w:val="24"/>
          <w:szCs w:val="24"/>
          <w:lang w:val="sq-AL"/>
        </w:rPr>
        <w:t xml:space="preserve"> me q</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llim mund</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simin e taksimit 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tyre </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parashikuar kategoria e taksimit “tok</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 p</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r </w:t>
      </w:r>
      <w:r w:rsidR="006D4B94" w:rsidRPr="00991BFE">
        <w:rPr>
          <w:rFonts w:ascii="Times New Roman" w:hAnsi="Times New Roman" w:cs="Times New Roman"/>
          <w:sz w:val="24"/>
          <w:szCs w:val="24"/>
          <w:lang w:val="sq-AL"/>
        </w:rPr>
        <w:t>përdorime</w:t>
      </w:r>
      <w:r w:rsidR="00431093" w:rsidRPr="00991BFE">
        <w:rPr>
          <w:rFonts w:ascii="Times New Roman" w:hAnsi="Times New Roman" w:cs="Times New Roman"/>
          <w:sz w:val="24"/>
          <w:szCs w:val="24"/>
          <w:lang w:val="sq-AL"/>
        </w:rPr>
        <w:t xml:space="preserve"> tjet</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 xml:space="preserve">r”. </w:t>
      </w:r>
    </w:p>
    <w:p w14:paraId="6FDE6DC8" w14:textId="19359DF4" w:rsidR="009D6AC6" w:rsidRPr="00991BFE" w:rsidRDefault="009F5107" w:rsidP="00134518">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Së fundmi</w:t>
      </w:r>
      <w:r w:rsidR="00502231" w:rsidRPr="00991BFE">
        <w:rPr>
          <w:rFonts w:ascii="Times New Roman" w:hAnsi="Times New Roman" w:cs="Times New Roman"/>
          <w:sz w:val="24"/>
          <w:szCs w:val="24"/>
          <w:lang w:val="sq-AL"/>
        </w:rPr>
        <w:t>, p</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rcaktimi i rregullave për klasifikimin e pasurive të paluajtshme në kategori të ndryshme</w:t>
      </w:r>
      <w:r w:rsidR="00431093" w:rsidRPr="00991BFE">
        <w:rPr>
          <w:rFonts w:ascii="Times New Roman" w:hAnsi="Times New Roman" w:cs="Times New Roman"/>
          <w:sz w:val="24"/>
          <w:szCs w:val="24"/>
          <w:lang w:val="sq-AL"/>
        </w:rPr>
        <w:t xml:space="preserve"> vler</w:t>
      </w:r>
      <w:r w:rsidR="00BD351D" w:rsidRPr="00991BFE">
        <w:rPr>
          <w:rFonts w:ascii="Times New Roman" w:hAnsi="Times New Roman" w:cs="Times New Roman"/>
          <w:sz w:val="24"/>
          <w:szCs w:val="24"/>
          <w:lang w:val="sq-AL"/>
        </w:rPr>
        <w:t>ë</w:t>
      </w:r>
      <w:r w:rsidR="00431093" w:rsidRPr="00991BFE">
        <w:rPr>
          <w:rFonts w:ascii="Times New Roman" w:hAnsi="Times New Roman" w:cs="Times New Roman"/>
          <w:sz w:val="24"/>
          <w:szCs w:val="24"/>
          <w:lang w:val="sq-AL"/>
        </w:rPr>
        <w:t>simi</w:t>
      </w:r>
      <w:r w:rsidR="00502231" w:rsidRPr="00991BFE">
        <w:rPr>
          <w:rFonts w:ascii="Times New Roman" w:hAnsi="Times New Roman" w:cs="Times New Roman"/>
          <w:sz w:val="24"/>
          <w:szCs w:val="24"/>
          <w:lang w:val="sq-AL"/>
        </w:rPr>
        <w:t xml:space="preserve"> është i domosdoshëm, jo thjesht dhe vetëm për qëllime kategorizimi, por edhe për caktimin e vlerës së duhur të pasurive, shkallës së aplikueshme të taksës dhe në fund, të taksës që duhet paguar për një vit tatimor të caktuar. P</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r k</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t</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 xml:space="preserve"> </w:t>
      </w:r>
      <w:r w:rsidR="00431093" w:rsidRPr="00991BFE">
        <w:rPr>
          <w:rFonts w:ascii="Times New Roman" w:hAnsi="Times New Roman" w:cs="Times New Roman"/>
          <w:sz w:val="24"/>
          <w:szCs w:val="24"/>
          <w:lang w:val="sq-AL"/>
        </w:rPr>
        <w:t>arsye</w:t>
      </w:r>
      <w:r w:rsidR="00502231" w:rsidRPr="00991BFE">
        <w:rPr>
          <w:rFonts w:ascii="Times New Roman" w:hAnsi="Times New Roman" w:cs="Times New Roman"/>
          <w:sz w:val="24"/>
          <w:szCs w:val="24"/>
          <w:lang w:val="sq-AL"/>
        </w:rPr>
        <w:t>, n</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 xml:space="preserve"> k</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t</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 xml:space="preserve"> nen </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sht</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 xml:space="preserve"> p</w:t>
      </w:r>
      <w:r w:rsidR="00D3437F" w:rsidRPr="00991BFE">
        <w:rPr>
          <w:rFonts w:ascii="Times New Roman" w:hAnsi="Times New Roman" w:cs="Times New Roman"/>
          <w:sz w:val="24"/>
          <w:szCs w:val="24"/>
          <w:lang w:val="sq-AL"/>
        </w:rPr>
        <w:t>ë</w:t>
      </w:r>
      <w:r w:rsidR="00502231" w:rsidRPr="00991BFE">
        <w:rPr>
          <w:rFonts w:ascii="Times New Roman" w:hAnsi="Times New Roman" w:cs="Times New Roman"/>
          <w:sz w:val="24"/>
          <w:szCs w:val="24"/>
          <w:lang w:val="sq-AL"/>
        </w:rPr>
        <w:t xml:space="preserve">rcaktuar se </w:t>
      </w:r>
      <w:r w:rsidR="002A7D7C" w:rsidRPr="00991BFE">
        <w:rPr>
          <w:rFonts w:ascii="Times New Roman" w:hAnsi="Times New Roman" w:cs="Times New Roman"/>
          <w:sz w:val="24"/>
          <w:szCs w:val="24"/>
          <w:lang w:val="sq-AL"/>
        </w:rPr>
        <w:t>k</w:t>
      </w:r>
      <w:r w:rsidR="00D3437F" w:rsidRPr="00991BFE">
        <w:rPr>
          <w:rFonts w:ascii="Times New Roman" w:hAnsi="Times New Roman" w:cs="Times New Roman"/>
          <w:sz w:val="24"/>
          <w:szCs w:val="24"/>
          <w:lang w:val="sq-AL"/>
        </w:rPr>
        <w:t>ë</w:t>
      </w:r>
      <w:r w:rsidR="002A7D7C" w:rsidRPr="00991BFE">
        <w:rPr>
          <w:rFonts w:ascii="Times New Roman" w:hAnsi="Times New Roman" w:cs="Times New Roman"/>
          <w:sz w:val="24"/>
          <w:szCs w:val="24"/>
          <w:lang w:val="sq-AL"/>
        </w:rPr>
        <w:t>to rregulla do t</w:t>
      </w:r>
      <w:r w:rsidR="00D3437F" w:rsidRPr="00991BFE">
        <w:rPr>
          <w:rFonts w:ascii="Times New Roman" w:hAnsi="Times New Roman" w:cs="Times New Roman"/>
          <w:sz w:val="24"/>
          <w:szCs w:val="24"/>
          <w:lang w:val="sq-AL"/>
        </w:rPr>
        <w:t>ë</w:t>
      </w:r>
      <w:r w:rsidR="002A7D7C" w:rsidRPr="00991BFE">
        <w:rPr>
          <w:rFonts w:ascii="Times New Roman" w:hAnsi="Times New Roman" w:cs="Times New Roman"/>
          <w:sz w:val="24"/>
          <w:szCs w:val="24"/>
          <w:lang w:val="sq-AL"/>
        </w:rPr>
        <w:t xml:space="preserve"> p</w:t>
      </w:r>
      <w:r w:rsidR="00D3437F" w:rsidRPr="00991BFE">
        <w:rPr>
          <w:rFonts w:ascii="Times New Roman" w:hAnsi="Times New Roman" w:cs="Times New Roman"/>
          <w:sz w:val="24"/>
          <w:szCs w:val="24"/>
          <w:lang w:val="sq-AL"/>
        </w:rPr>
        <w:t>ë</w:t>
      </w:r>
      <w:r w:rsidR="002A7D7C" w:rsidRPr="00991BFE">
        <w:rPr>
          <w:rFonts w:ascii="Times New Roman" w:hAnsi="Times New Roman" w:cs="Times New Roman"/>
          <w:sz w:val="24"/>
          <w:szCs w:val="24"/>
          <w:lang w:val="sq-AL"/>
        </w:rPr>
        <w:t>rfshihen n</w:t>
      </w:r>
      <w:r w:rsidR="00D3437F" w:rsidRPr="00991BFE">
        <w:rPr>
          <w:rFonts w:ascii="Times New Roman" w:hAnsi="Times New Roman" w:cs="Times New Roman"/>
          <w:sz w:val="24"/>
          <w:szCs w:val="24"/>
          <w:lang w:val="sq-AL"/>
        </w:rPr>
        <w:t>ë</w:t>
      </w:r>
      <w:r w:rsidR="002A7D7C" w:rsidRPr="00991BFE">
        <w:rPr>
          <w:rFonts w:ascii="Times New Roman" w:hAnsi="Times New Roman" w:cs="Times New Roman"/>
          <w:sz w:val="24"/>
          <w:szCs w:val="24"/>
          <w:lang w:val="sq-AL"/>
        </w:rPr>
        <w:t xml:space="preserve"> metodologjin</w:t>
      </w:r>
      <w:r w:rsidR="00D3437F" w:rsidRPr="00991BFE">
        <w:rPr>
          <w:rFonts w:ascii="Times New Roman" w:hAnsi="Times New Roman" w:cs="Times New Roman"/>
          <w:sz w:val="24"/>
          <w:szCs w:val="24"/>
          <w:lang w:val="sq-AL"/>
        </w:rPr>
        <w:t>ë</w:t>
      </w:r>
      <w:r w:rsidR="002A7D7C" w:rsidRPr="00991BFE">
        <w:rPr>
          <w:rFonts w:ascii="Times New Roman" w:hAnsi="Times New Roman" w:cs="Times New Roman"/>
          <w:sz w:val="24"/>
          <w:szCs w:val="24"/>
          <w:lang w:val="sq-AL"/>
        </w:rPr>
        <w:t xml:space="preserve"> </w:t>
      </w:r>
      <w:r w:rsidR="00502231" w:rsidRPr="00991BFE">
        <w:rPr>
          <w:rFonts w:ascii="Times New Roman" w:hAnsi="Times New Roman" w:cs="Times New Roman"/>
          <w:sz w:val="24"/>
          <w:szCs w:val="24"/>
          <w:lang w:val="sq-AL"/>
        </w:rPr>
        <w:t xml:space="preserve">që do </w:t>
      </w:r>
      <w:r w:rsidR="002A7D7C" w:rsidRPr="00991BFE">
        <w:rPr>
          <w:rFonts w:ascii="Times New Roman" w:hAnsi="Times New Roman" w:cs="Times New Roman"/>
          <w:sz w:val="24"/>
          <w:szCs w:val="24"/>
          <w:lang w:val="sq-AL"/>
        </w:rPr>
        <w:t>t</w:t>
      </w:r>
      <w:r w:rsidR="00D3437F" w:rsidRPr="00991BFE">
        <w:rPr>
          <w:rFonts w:ascii="Times New Roman" w:hAnsi="Times New Roman" w:cs="Times New Roman"/>
          <w:sz w:val="24"/>
          <w:szCs w:val="24"/>
          <w:lang w:val="sq-AL"/>
        </w:rPr>
        <w:t>ë</w:t>
      </w:r>
      <w:r w:rsidR="002A7D7C" w:rsidRPr="00991BFE">
        <w:rPr>
          <w:rFonts w:ascii="Times New Roman" w:hAnsi="Times New Roman" w:cs="Times New Roman"/>
          <w:sz w:val="24"/>
          <w:szCs w:val="24"/>
          <w:lang w:val="sq-AL"/>
        </w:rPr>
        <w:t xml:space="preserve"> </w:t>
      </w:r>
      <w:r w:rsidR="00502231" w:rsidRPr="00991BFE">
        <w:rPr>
          <w:rFonts w:ascii="Times New Roman" w:hAnsi="Times New Roman" w:cs="Times New Roman"/>
          <w:sz w:val="24"/>
          <w:szCs w:val="24"/>
          <w:lang w:val="sq-AL"/>
        </w:rPr>
        <w:t>miratohet nga Këshilli i Ministrave</w:t>
      </w:r>
      <w:r w:rsidR="009C5DCA" w:rsidRPr="00991BFE">
        <w:rPr>
          <w:rFonts w:ascii="Times New Roman" w:hAnsi="Times New Roman" w:cs="Times New Roman"/>
          <w:sz w:val="24"/>
          <w:szCs w:val="24"/>
          <w:lang w:val="sq-AL"/>
        </w:rPr>
        <w:t>.</w:t>
      </w:r>
    </w:p>
    <w:p w14:paraId="1DEB7356" w14:textId="00F48EC7" w:rsidR="00B029A5" w:rsidRPr="00991BFE" w:rsidRDefault="00630CA2" w:rsidP="00171361">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12</w:t>
      </w:r>
      <w:r w:rsidR="000B5FA8" w:rsidRPr="00991BFE">
        <w:rPr>
          <w:rFonts w:ascii="Times New Roman" w:hAnsi="Times New Roman" w:cs="Times New Roman"/>
          <w:b/>
          <w:sz w:val="24"/>
          <w:szCs w:val="24"/>
          <w:lang w:val="sq-AL"/>
        </w:rPr>
        <w:t>,</w:t>
      </w:r>
      <w:r w:rsidR="000B5FA8" w:rsidRPr="00991BFE">
        <w:rPr>
          <w:rFonts w:ascii="Times New Roman" w:hAnsi="Times New Roman" w:cs="Times New Roman"/>
          <w:sz w:val="24"/>
          <w:szCs w:val="24"/>
          <w:lang w:val="sq-AL"/>
        </w:rPr>
        <w:t xml:space="preserve"> p</w:t>
      </w:r>
      <w:r w:rsidR="00F952C9" w:rsidRPr="00991BFE">
        <w:rPr>
          <w:rFonts w:ascii="Times New Roman" w:hAnsi="Times New Roman" w:cs="Times New Roman"/>
          <w:sz w:val="24"/>
          <w:szCs w:val="24"/>
          <w:lang w:val="sq-AL"/>
        </w:rPr>
        <w:t>ë</w:t>
      </w:r>
      <w:r w:rsidR="002D5033" w:rsidRPr="00991BFE">
        <w:rPr>
          <w:rFonts w:ascii="Times New Roman" w:hAnsi="Times New Roman" w:cs="Times New Roman"/>
          <w:sz w:val="24"/>
          <w:szCs w:val="24"/>
          <w:lang w:val="sq-AL"/>
        </w:rPr>
        <w:t xml:space="preserve">rcakton </w:t>
      </w:r>
      <w:r w:rsidR="000B5FA8" w:rsidRPr="00991BFE">
        <w:rPr>
          <w:rFonts w:ascii="Times New Roman" w:hAnsi="Times New Roman" w:cs="Times New Roman"/>
          <w:sz w:val="24"/>
          <w:szCs w:val="24"/>
          <w:lang w:val="sq-AL"/>
        </w:rPr>
        <w:t>kufijtë e shkall</w:t>
      </w:r>
      <w:r w:rsidR="00F952C9" w:rsidRPr="00991BFE">
        <w:rPr>
          <w:rFonts w:ascii="Times New Roman" w:hAnsi="Times New Roman" w:cs="Times New Roman"/>
          <w:sz w:val="24"/>
          <w:szCs w:val="24"/>
          <w:lang w:val="sq-AL"/>
        </w:rPr>
        <w:t>ë</w:t>
      </w:r>
      <w:r w:rsidR="000B5FA8" w:rsidRPr="00991BFE">
        <w:rPr>
          <w:rFonts w:ascii="Times New Roman" w:hAnsi="Times New Roman" w:cs="Times New Roman"/>
          <w:sz w:val="24"/>
          <w:szCs w:val="24"/>
          <w:lang w:val="sq-AL"/>
        </w:rPr>
        <w:t>ve t</w:t>
      </w:r>
      <w:r w:rsidR="00F2033F" w:rsidRPr="00991BFE">
        <w:rPr>
          <w:rFonts w:ascii="Times New Roman" w:hAnsi="Times New Roman" w:cs="Times New Roman"/>
          <w:sz w:val="24"/>
          <w:szCs w:val="24"/>
          <w:lang w:val="sq-AL"/>
        </w:rPr>
        <w:t>aksës</w:t>
      </w:r>
      <w:r w:rsidR="000B5FA8" w:rsidRPr="00991BFE">
        <w:rPr>
          <w:rFonts w:ascii="Times New Roman" w:hAnsi="Times New Roman" w:cs="Times New Roman"/>
          <w:sz w:val="24"/>
          <w:szCs w:val="24"/>
          <w:lang w:val="sq-AL"/>
        </w:rPr>
        <w:t xml:space="preserve"> </w:t>
      </w:r>
      <w:r w:rsidR="00F260CE"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F260CE" w:rsidRPr="00991BFE">
        <w:rPr>
          <w:rFonts w:ascii="Times New Roman" w:hAnsi="Times New Roman" w:cs="Times New Roman"/>
          <w:sz w:val="24"/>
          <w:szCs w:val="24"/>
          <w:lang w:val="sq-AL"/>
        </w:rPr>
        <w:t>r</w:t>
      </w:r>
      <w:r w:rsidR="00926E01" w:rsidRPr="00991BFE">
        <w:rPr>
          <w:rFonts w:ascii="Times New Roman" w:hAnsi="Times New Roman" w:cs="Times New Roman"/>
          <w:sz w:val="24"/>
          <w:szCs w:val="24"/>
          <w:lang w:val="sq-AL"/>
        </w:rPr>
        <w:t xml:space="preserve"> të gjitha kategoritë e taksimit</w:t>
      </w:r>
      <w:r w:rsidR="00171361" w:rsidRPr="00991BFE">
        <w:rPr>
          <w:rFonts w:ascii="Times New Roman" w:hAnsi="Times New Roman" w:cs="Times New Roman"/>
          <w:sz w:val="24"/>
          <w:szCs w:val="24"/>
          <w:lang w:val="sq-AL"/>
        </w:rPr>
        <w:t>, me q</w:t>
      </w:r>
      <w:r w:rsidR="00D3437F" w:rsidRPr="00991BFE">
        <w:rPr>
          <w:rFonts w:ascii="Times New Roman" w:hAnsi="Times New Roman" w:cs="Times New Roman"/>
          <w:sz w:val="24"/>
          <w:szCs w:val="24"/>
          <w:lang w:val="sq-AL"/>
        </w:rPr>
        <w:t>ë</w:t>
      </w:r>
      <w:r w:rsidR="00171361" w:rsidRPr="00991BFE">
        <w:rPr>
          <w:rFonts w:ascii="Times New Roman" w:hAnsi="Times New Roman" w:cs="Times New Roman"/>
          <w:sz w:val="24"/>
          <w:szCs w:val="24"/>
          <w:lang w:val="sq-AL"/>
        </w:rPr>
        <w:t>llim krijimin e mundësisë s</w:t>
      </w:r>
      <w:r w:rsidR="00D3437F" w:rsidRPr="00991BFE">
        <w:rPr>
          <w:rFonts w:ascii="Times New Roman" w:hAnsi="Times New Roman" w:cs="Times New Roman"/>
          <w:sz w:val="24"/>
          <w:szCs w:val="24"/>
          <w:lang w:val="sq-AL"/>
        </w:rPr>
        <w:t>ë</w:t>
      </w:r>
      <w:r w:rsidR="00171361" w:rsidRPr="00991BFE">
        <w:rPr>
          <w:rFonts w:ascii="Times New Roman" w:hAnsi="Times New Roman" w:cs="Times New Roman"/>
          <w:sz w:val="24"/>
          <w:szCs w:val="24"/>
          <w:lang w:val="sq-AL"/>
        </w:rPr>
        <w:t xml:space="preserve"> vendosjes së shkallëve të ndryshme të taksës për </w:t>
      </w:r>
      <w:r w:rsidR="00513243" w:rsidRPr="00991BFE">
        <w:rPr>
          <w:rFonts w:ascii="Times New Roman" w:hAnsi="Times New Roman" w:cs="Times New Roman"/>
          <w:sz w:val="24"/>
          <w:szCs w:val="24"/>
          <w:lang w:val="sq-AL"/>
        </w:rPr>
        <w:t>pasuri të paluajtshme</w:t>
      </w:r>
      <w:r w:rsidR="00171361" w:rsidRPr="00991BFE">
        <w:rPr>
          <w:rFonts w:ascii="Times New Roman" w:hAnsi="Times New Roman" w:cs="Times New Roman"/>
          <w:sz w:val="24"/>
          <w:szCs w:val="24"/>
          <w:lang w:val="sq-AL"/>
        </w:rPr>
        <w:t xml:space="preserve"> që përdoren për qëllime të ndryshme, për të balancuar kështu më mirë kostot e shërbimeve bashkiake dhe për të zbatuar politika të ndryshme zhvillimi. </w:t>
      </w:r>
    </w:p>
    <w:p w14:paraId="1B244B28" w14:textId="71451CD7" w:rsidR="00171361" w:rsidRPr="00991BFE" w:rsidRDefault="00171361" w:rsidP="00171361">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 xml:space="preserve">Nga një vështrim krahasues i </w:t>
      </w:r>
      <w:r w:rsidR="00BF014C" w:rsidRPr="00991BFE">
        <w:rPr>
          <w:rFonts w:ascii="Times New Roman" w:hAnsi="Times New Roman" w:cs="Times New Roman"/>
          <w:sz w:val="24"/>
          <w:szCs w:val="24"/>
          <w:lang w:val="sq-AL"/>
        </w:rPr>
        <w:t>vendeve</w:t>
      </w:r>
      <w:r w:rsidRPr="00991BFE">
        <w:rPr>
          <w:rFonts w:ascii="Times New Roman" w:hAnsi="Times New Roman" w:cs="Times New Roman"/>
          <w:sz w:val="24"/>
          <w:szCs w:val="24"/>
          <w:lang w:val="sq-AL"/>
        </w:rPr>
        <w:t xml:space="preserve"> t</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rajonit, vërehet se shkallët/nivelet e taksës në Shqipëri janë të ulëta, veçanërisht për truallin dhe ndërtesat që përdoren për qëllime banimi. M</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konkretisht, shkallët e lejuara të taksës në Kosovë variojnë nga 0,15% deri në 1% të vlerës së pasurisë së paluajtshme; në Mal të zi nga 0,25% deri në 1%; në Serbi 0,4 %; dhe në Maqedoninë e </w:t>
      </w:r>
      <w:r w:rsidR="00852263" w:rsidRPr="00991BFE">
        <w:rPr>
          <w:rFonts w:ascii="Times New Roman" w:hAnsi="Times New Roman" w:cs="Times New Roman"/>
          <w:sz w:val="24"/>
          <w:szCs w:val="24"/>
          <w:lang w:val="sq-AL"/>
        </w:rPr>
        <w:t>V</w:t>
      </w:r>
      <w:r w:rsidRPr="00991BFE">
        <w:rPr>
          <w:rFonts w:ascii="Times New Roman" w:hAnsi="Times New Roman" w:cs="Times New Roman"/>
          <w:sz w:val="24"/>
          <w:szCs w:val="24"/>
          <w:lang w:val="sq-AL"/>
        </w:rPr>
        <w:t>eriut nga 0,1% deri në 0,2%. Përveç kësaj, është e rëndësishme të theksohet se ka një hendek të konsiderueshëm të shkallëve/nivele të taksës që aplikohen për pasuritë e paluajtshme që përdoren për banim dhe atyre që aplikohen për pasuritë që përdoren për veprimtari ekonomike.</w:t>
      </w:r>
    </w:p>
    <w:p w14:paraId="131057B6" w14:textId="34FD05BB" w:rsidR="00171361" w:rsidRPr="00991BFE" w:rsidRDefault="00171361" w:rsidP="00171361">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Pa dyshim që pronat që përdoren për qëllime tregtare dhe industriale që përfitojnë nga shërbime më të kushtueshme bashkiake, amortizojnë më shume infrastrukturën, ndotin më shumë, etj., duhet të kenë në parim një nivel më të lartë të shkallës së taksës dhe të paguajnë një taksë më të lartë se pronat e tjera. Megjithatë, duhet pranuar fakti se pjesa më e madhe e të ardhurave të mbledhura nga taksa </w:t>
      </w:r>
      <w:r w:rsidR="00C0114C" w:rsidRPr="00991BFE">
        <w:rPr>
          <w:rFonts w:ascii="Times New Roman" w:hAnsi="Times New Roman" w:cs="Times New Roman"/>
          <w:sz w:val="24"/>
          <w:szCs w:val="24"/>
          <w:lang w:val="sq-AL"/>
        </w:rPr>
        <w:t>mbi</w:t>
      </w:r>
      <w:r w:rsidRPr="00991BFE">
        <w:rPr>
          <w:rFonts w:ascii="Times New Roman" w:hAnsi="Times New Roman" w:cs="Times New Roman"/>
          <w:sz w:val="24"/>
          <w:szCs w:val="24"/>
          <w:lang w:val="sq-AL"/>
        </w:rPr>
        <w:t xml:space="preserve"> pasuri</w:t>
      </w:r>
      <w:r w:rsidR="00C0114C" w:rsidRPr="00991BFE">
        <w:rPr>
          <w:rFonts w:ascii="Times New Roman" w:hAnsi="Times New Roman" w:cs="Times New Roman"/>
          <w:sz w:val="24"/>
          <w:szCs w:val="24"/>
          <w:lang w:val="sq-AL"/>
        </w:rPr>
        <w:t>n</w:t>
      </w:r>
      <w:r w:rsidRPr="00991BFE">
        <w:rPr>
          <w:rFonts w:ascii="Times New Roman" w:hAnsi="Times New Roman" w:cs="Times New Roman"/>
          <w:sz w:val="24"/>
          <w:szCs w:val="24"/>
          <w:lang w:val="sq-AL"/>
        </w:rPr>
        <w:t>ë</w:t>
      </w:r>
      <w:r w:rsidR="00C0114C" w:rsidRPr="00991BFE">
        <w:rPr>
          <w:rFonts w:ascii="Times New Roman" w:hAnsi="Times New Roman" w:cs="Times New Roman"/>
          <w:sz w:val="24"/>
          <w:szCs w:val="24"/>
          <w:lang w:val="sq-AL"/>
        </w:rPr>
        <w:t xml:space="preserve"> e paluajtshme</w:t>
      </w:r>
      <w:r w:rsidRPr="00991BFE">
        <w:rPr>
          <w:rFonts w:ascii="Times New Roman" w:hAnsi="Times New Roman" w:cs="Times New Roman"/>
          <w:sz w:val="24"/>
          <w:szCs w:val="24"/>
          <w:lang w:val="sq-AL"/>
        </w:rPr>
        <w:t xml:space="preserve"> shpenzohet zakonisht nga bashkitë për financimin e projekteve apo shërbimeve me target pronarët/poseduesit e pronave rezidenciale, që mbeten të jenë edhe përmes mekanizmave të tjerë të parashikuar në projektligj, përfituesit kryesorë të sistemit. </w:t>
      </w:r>
    </w:p>
    <w:p w14:paraId="08618916" w14:textId="2D60D82D" w:rsidR="00F260CE" w:rsidRPr="00991BFE" w:rsidRDefault="00171361" w:rsidP="00CB1A8E">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Për këto arsye, projektligji synon për aq sa është e mundur, të orientojë bashkitë, drejt një ndarje më të përshtatshme të barrës tatimore, përmes caktimit të kufijve të rinj të shkallëve të taksës. Sidoqoftë, përgjegjësia kryesore për përcaktimin e një shkallë takse sa më të drejtë e të përshtatshme i takon eventualisht bashkive, të cilat janë në një pozitë më të favorshme për përcaktimin e tyre (</w:t>
      </w:r>
      <w:r w:rsidRPr="00991BFE">
        <w:rPr>
          <w:rFonts w:ascii="Times New Roman" w:hAnsi="Times New Roman" w:cs="Times New Roman"/>
          <w:i/>
          <w:iCs/>
          <w:sz w:val="24"/>
          <w:szCs w:val="24"/>
          <w:lang w:val="sq-AL"/>
        </w:rPr>
        <w:t>të udhëhequra normalisht nga konsiderata lidhur me targetin mbi të ardhurat dhe ndikimin e taksimit mbi politika të ndryshme apo barrën tatimore të subjekteve të ndryshme).</w:t>
      </w:r>
    </w:p>
    <w:p w14:paraId="04E744FF" w14:textId="69D19845" w:rsidR="00FC7DCC" w:rsidRPr="00991BFE" w:rsidRDefault="008D0BE8" w:rsidP="004462C0">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Tabela </w:t>
      </w:r>
      <w:r w:rsidR="003C14B4" w:rsidRPr="00991BFE">
        <w:rPr>
          <w:rFonts w:ascii="Times New Roman" w:hAnsi="Times New Roman" w:cs="Times New Roman"/>
          <w:sz w:val="24"/>
          <w:szCs w:val="24"/>
          <w:lang w:val="sq-AL"/>
        </w:rPr>
        <w:t>më</w:t>
      </w:r>
      <w:r w:rsidRPr="00991BFE">
        <w:rPr>
          <w:rFonts w:ascii="Times New Roman" w:hAnsi="Times New Roman" w:cs="Times New Roman"/>
          <w:sz w:val="24"/>
          <w:szCs w:val="24"/>
          <w:lang w:val="sq-AL"/>
        </w:rPr>
        <w:t xml:space="preserve"> </w:t>
      </w:r>
      <w:r w:rsidR="003C14B4" w:rsidRPr="00991BFE">
        <w:rPr>
          <w:rFonts w:ascii="Times New Roman" w:hAnsi="Times New Roman" w:cs="Times New Roman"/>
          <w:sz w:val="24"/>
          <w:szCs w:val="24"/>
          <w:lang w:val="sq-AL"/>
        </w:rPr>
        <w:t>poshtë</w:t>
      </w:r>
      <w:r w:rsidRPr="00991BFE">
        <w:rPr>
          <w:rFonts w:ascii="Times New Roman" w:hAnsi="Times New Roman" w:cs="Times New Roman"/>
          <w:sz w:val="24"/>
          <w:szCs w:val="24"/>
          <w:lang w:val="sq-AL"/>
        </w:rPr>
        <w:t xml:space="preserve"> paraqet </w:t>
      </w:r>
      <w:r w:rsidR="003C14B4" w:rsidRPr="00991BFE">
        <w:rPr>
          <w:rFonts w:ascii="Times New Roman" w:hAnsi="Times New Roman" w:cs="Times New Roman"/>
          <w:sz w:val="24"/>
          <w:szCs w:val="24"/>
          <w:lang w:val="sq-AL"/>
        </w:rPr>
        <w:t>kufijtë</w:t>
      </w:r>
      <w:r w:rsidRPr="00991BFE">
        <w:rPr>
          <w:rFonts w:ascii="Times New Roman" w:hAnsi="Times New Roman" w:cs="Times New Roman"/>
          <w:sz w:val="24"/>
          <w:szCs w:val="24"/>
          <w:lang w:val="sq-AL"/>
        </w:rPr>
        <w:t xml:space="preserve"> e</w:t>
      </w:r>
      <w:r w:rsidR="0015396A" w:rsidRPr="00991BFE">
        <w:rPr>
          <w:rFonts w:ascii="Times New Roman" w:hAnsi="Times New Roman" w:cs="Times New Roman"/>
          <w:sz w:val="24"/>
          <w:szCs w:val="24"/>
          <w:lang w:val="sq-AL"/>
        </w:rPr>
        <w:t xml:space="preserve"> shkall</w:t>
      </w:r>
      <w:r w:rsidR="002D0633" w:rsidRPr="00991BFE">
        <w:rPr>
          <w:rFonts w:ascii="Times New Roman" w:hAnsi="Times New Roman" w:cs="Times New Roman"/>
          <w:sz w:val="24"/>
          <w:szCs w:val="24"/>
          <w:lang w:val="sq-AL"/>
        </w:rPr>
        <w:t>ë</w:t>
      </w:r>
      <w:r w:rsidR="0015396A" w:rsidRPr="00991BFE">
        <w:rPr>
          <w:rFonts w:ascii="Times New Roman" w:hAnsi="Times New Roman" w:cs="Times New Roman"/>
          <w:sz w:val="24"/>
          <w:szCs w:val="24"/>
          <w:lang w:val="sq-AL"/>
        </w:rPr>
        <w:t>ve t</w:t>
      </w:r>
      <w:r w:rsidR="002D0633" w:rsidRPr="00991BFE">
        <w:rPr>
          <w:rFonts w:ascii="Times New Roman" w:hAnsi="Times New Roman" w:cs="Times New Roman"/>
          <w:sz w:val="24"/>
          <w:szCs w:val="24"/>
          <w:lang w:val="sq-AL"/>
        </w:rPr>
        <w:t>ë</w:t>
      </w:r>
      <w:r w:rsidR="0015396A" w:rsidRPr="00991BFE">
        <w:rPr>
          <w:rFonts w:ascii="Times New Roman" w:hAnsi="Times New Roman" w:cs="Times New Roman"/>
          <w:sz w:val="24"/>
          <w:szCs w:val="24"/>
          <w:lang w:val="sq-AL"/>
        </w:rPr>
        <w:t xml:space="preserve"> taks</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s </w:t>
      </w:r>
      <w:r w:rsidR="0015396A" w:rsidRPr="00991BFE">
        <w:rPr>
          <w:rFonts w:ascii="Times New Roman" w:hAnsi="Times New Roman" w:cs="Times New Roman"/>
          <w:sz w:val="24"/>
          <w:szCs w:val="24"/>
          <w:lang w:val="sq-AL"/>
        </w:rPr>
        <w:t>t</w:t>
      </w:r>
      <w:r w:rsidR="002D0633" w:rsidRPr="00991BFE">
        <w:rPr>
          <w:rFonts w:ascii="Times New Roman" w:hAnsi="Times New Roman" w:cs="Times New Roman"/>
          <w:sz w:val="24"/>
          <w:szCs w:val="24"/>
          <w:lang w:val="sq-AL"/>
        </w:rPr>
        <w:t>ë</w:t>
      </w:r>
      <w:r w:rsidR="0015396A" w:rsidRPr="00991BFE">
        <w:rPr>
          <w:rFonts w:ascii="Times New Roman" w:hAnsi="Times New Roman" w:cs="Times New Roman"/>
          <w:sz w:val="24"/>
          <w:szCs w:val="24"/>
          <w:lang w:val="sq-AL"/>
        </w:rPr>
        <w:t xml:space="preserve"> p</w:t>
      </w:r>
      <w:r w:rsidR="002D0633" w:rsidRPr="00991BFE">
        <w:rPr>
          <w:rFonts w:ascii="Times New Roman" w:hAnsi="Times New Roman" w:cs="Times New Roman"/>
          <w:sz w:val="24"/>
          <w:szCs w:val="24"/>
          <w:lang w:val="sq-AL"/>
        </w:rPr>
        <w:t>ë</w:t>
      </w:r>
      <w:r w:rsidR="0015396A" w:rsidRPr="00991BFE">
        <w:rPr>
          <w:rFonts w:ascii="Times New Roman" w:hAnsi="Times New Roman" w:cs="Times New Roman"/>
          <w:sz w:val="24"/>
          <w:szCs w:val="24"/>
          <w:lang w:val="sq-AL"/>
        </w:rPr>
        <w:t xml:space="preserve">rcaktuara </w:t>
      </w:r>
      <w:r w:rsidR="00CB1A8E" w:rsidRPr="00991BFE">
        <w:rPr>
          <w:rFonts w:ascii="Times New Roman" w:hAnsi="Times New Roman" w:cs="Times New Roman"/>
          <w:sz w:val="24"/>
          <w:szCs w:val="24"/>
          <w:lang w:val="sq-AL"/>
        </w:rPr>
        <w:t>k</w:t>
      </w:r>
      <w:r w:rsidR="00D3437F" w:rsidRPr="00991BFE">
        <w:rPr>
          <w:rFonts w:ascii="Times New Roman" w:hAnsi="Times New Roman" w:cs="Times New Roman"/>
          <w:sz w:val="24"/>
          <w:szCs w:val="24"/>
          <w:lang w:val="sq-AL"/>
        </w:rPr>
        <w:t>ë</w:t>
      </w:r>
      <w:r w:rsidR="00CB1A8E" w:rsidRPr="00991BFE">
        <w:rPr>
          <w:rFonts w:ascii="Times New Roman" w:hAnsi="Times New Roman" w:cs="Times New Roman"/>
          <w:sz w:val="24"/>
          <w:szCs w:val="24"/>
          <w:lang w:val="sq-AL"/>
        </w:rPr>
        <w:t>t</w:t>
      </w:r>
      <w:r w:rsidR="00D3437F" w:rsidRPr="00991BFE">
        <w:rPr>
          <w:rFonts w:ascii="Times New Roman" w:hAnsi="Times New Roman" w:cs="Times New Roman"/>
          <w:sz w:val="24"/>
          <w:szCs w:val="24"/>
          <w:lang w:val="sq-AL"/>
        </w:rPr>
        <w:t>ë</w:t>
      </w:r>
      <w:r w:rsidR="00CB1A8E" w:rsidRPr="00991BFE">
        <w:rPr>
          <w:rFonts w:ascii="Times New Roman" w:hAnsi="Times New Roman" w:cs="Times New Roman"/>
          <w:sz w:val="24"/>
          <w:szCs w:val="24"/>
          <w:lang w:val="sq-AL"/>
        </w:rPr>
        <w:t xml:space="preserve"> nen</w:t>
      </w:r>
      <w:r w:rsidR="003C14B4" w:rsidRPr="00991BFE">
        <w:rPr>
          <w:rFonts w:ascii="Times New Roman" w:hAnsi="Times New Roman" w:cs="Times New Roman"/>
          <w:sz w:val="24"/>
          <w:szCs w:val="24"/>
          <w:lang w:val="sq-AL"/>
        </w:rPr>
        <w:t>, për kategori të ndryshme të p</w:t>
      </w:r>
      <w:r w:rsidR="00513243" w:rsidRPr="00991BFE">
        <w:rPr>
          <w:rFonts w:ascii="Times New Roman" w:hAnsi="Times New Roman" w:cs="Times New Roman"/>
          <w:sz w:val="24"/>
          <w:szCs w:val="24"/>
          <w:lang w:val="sq-AL"/>
        </w:rPr>
        <w:t>asurive të paluajtshme</w:t>
      </w:r>
      <w:r w:rsidR="003C14B4" w:rsidRPr="00991BFE">
        <w:rPr>
          <w:rFonts w:ascii="Times New Roman" w:hAnsi="Times New Roman" w:cs="Times New Roman"/>
          <w:sz w:val="24"/>
          <w:szCs w:val="24"/>
          <w:lang w:val="sq-AL"/>
        </w:rPr>
        <w:t>.</w:t>
      </w:r>
      <w:r w:rsidR="0015396A" w:rsidRPr="00991BFE">
        <w:rPr>
          <w:rFonts w:ascii="Times New Roman" w:hAnsi="Times New Roman" w:cs="Times New Roman"/>
          <w:sz w:val="24"/>
          <w:szCs w:val="24"/>
          <w:lang w:val="sq-AL"/>
        </w:rPr>
        <w:t xml:space="preserve"> </w:t>
      </w:r>
    </w:p>
    <w:tbl>
      <w:tblPr>
        <w:tblStyle w:val="TableGrid2"/>
        <w:tblW w:w="9543" w:type="dxa"/>
        <w:tblInd w:w="-5" w:type="dxa"/>
        <w:tblLook w:val="04A0" w:firstRow="1" w:lastRow="0" w:firstColumn="1" w:lastColumn="0" w:noHBand="0" w:noVBand="1"/>
      </w:tblPr>
      <w:tblGrid>
        <w:gridCol w:w="6983"/>
        <w:gridCol w:w="2560"/>
      </w:tblGrid>
      <w:tr w:rsidR="009C5DCA" w:rsidRPr="00991BFE" w14:paraId="1220AB8D" w14:textId="77777777" w:rsidTr="001A386C">
        <w:trPr>
          <w:trHeight w:val="422"/>
        </w:trPr>
        <w:tc>
          <w:tcPr>
            <w:tcW w:w="0" w:type="auto"/>
          </w:tcPr>
          <w:p w14:paraId="374E92CD" w14:textId="56912A38" w:rsidR="00D37E6E" w:rsidRPr="00991BFE" w:rsidRDefault="00D37E6E" w:rsidP="00D37E6E">
            <w:pPr>
              <w:jc w:val="center"/>
              <w:rPr>
                <w:rFonts w:ascii="Times New Roman" w:hAnsi="Times New Roman" w:cs="Times New Roman"/>
                <w:b/>
                <w:sz w:val="20"/>
                <w:szCs w:val="20"/>
                <w:lang w:val="sq-AL"/>
              </w:rPr>
            </w:pPr>
            <w:r w:rsidRPr="00991BFE">
              <w:rPr>
                <w:rFonts w:ascii="Times New Roman" w:hAnsi="Times New Roman" w:cs="Times New Roman"/>
                <w:b/>
                <w:sz w:val="20"/>
                <w:szCs w:val="20"/>
                <w:lang w:val="sq-AL"/>
              </w:rPr>
              <w:t>Kategoritë</w:t>
            </w:r>
            <w:r w:rsidR="00303FF2" w:rsidRPr="00991BFE">
              <w:rPr>
                <w:rFonts w:ascii="Times New Roman" w:hAnsi="Times New Roman" w:cs="Times New Roman"/>
                <w:b/>
                <w:sz w:val="20"/>
                <w:szCs w:val="20"/>
                <w:lang w:val="sq-AL"/>
              </w:rPr>
              <w:t xml:space="preserve"> e Taksimit</w:t>
            </w:r>
          </w:p>
          <w:p w14:paraId="5C6283BC" w14:textId="77777777" w:rsidR="00254E30" w:rsidRPr="00991BFE" w:rsidRDefault="00254E30" w:rsidP="00D37E6E">
            <w:pPr>
              <w:jc w:val="center"/>
              <w:rPr>
                <w:rFonts w:ascii="Times New Roman" w:hAnsi="Times New Roman" w:cs="Times New Roman"/>
                <w:b/>
                <w:sz w:val="20"/>
                <w:szCs w:val="20"/>
                <w:lang w:val="sq-AL"/>
              </w:rPr>
            </w:pPr>
          </w:p>
        </w:tc>
        <w:tc>
          <w:tcPr>
            <w:tcW w:w="0" w:type="auto"/>
          </w:tcPr>
          <w:p w14:paraId="4A64A527" w14:textId="77777777" w:rsidR="00D37E6E" w:rsidRPr="00991BFE" w:rsidRDefault="00D37E6E" w:rsidP="0015396A">
            <w:pPr>
              <w:jc w:val="center"/>
              <w:rPr>
                <w:rFonts w:ascii="Times New Roman" w:hAnsi="Times New Roman" w:cs="Times New Roman"/>
                <w:b/>
                <w:sz w:val="20"/>
                <w:szCs w:val="20"/>
                <w:lang w:val="sq-AL"/>
              </w:rPr>
            </w:pPr>
            <w:r w:rsidRPr="00991BFE">
              <w:rPr>
                <w:rFonts w:ascii="Times New Roman" w:hAnsi="Times New Roman" w:cs="Times New Roman"/>
                <w:b/>
                <w:sz w:val="20"/>
                <w:szCs w:val="20"/>
                <w:lang w:val="sq-AL"/>
              </w:rPr>
              <w:t>Kufijtë e shkallëve të taksës</w:t>
            </w:r>
          </w:p>
        </w:tc>
      </w:tr>
      <w:tr w:rsidR="009C5DCA" w:rsidRPr="00991BFE" w14:paraId="136F198D" w14:textId="77777777" w:rsidTr="001A386C">
        <w:trPr>
          <w:trHeight w:val="211"/>
        </w:trPr>
        <w:tc>
          <w:tcPr>
            <w:tcW w:w="0" w:type="auto"/>
          </w:tcPr>
          <w:p w14:paraId="6DA62AFA" w14:textId="1A68CC5B" w:rsidR="00254E30" w:rsidRPr="00991BFE" w:rsidRDefault="00303FF2" w:rsidP="00D37E6E">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Parcelat që përfshihen në kategorinë ‘tokë bujqësore-blegtorale’</w:t>
            </w:r>
          </w:p>
        </w:tc>
        <w:tc>
          <w:tcPr>
            <w:tcW w:w="0" w:type="auto"/>
          </w:tcPr>
          <w:p w14:paraId="1ACBB1C2" w14:textId="26EB2212" w:rsidR="00D37E6E" w:rsidRPr="00991BFE" w:rsidRDefault="001A386C" w:rsidP="001A386C">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 xml:space="preserve">0,05% - 0,15% </w:t>
            </w:r>
          </w:p>
        </w:tc>
      </w:tr>
      <w:tr w:rsidR="009C5DCA" w:rsidRPr="00991BFE" w14:paraId="2E6CFC60" w14:textId="77777777" w:rsidTr="001A386C">
        <w:trPr>
          <w:trHeight w:val="211"/>
        </w:trPr>
        <w:tc>
          <w:tcPr>
            <w:tcW w:w="0" w:type="auto"/>
          </w:tcPr>
          <w:p w14:paraId="6948F8D4" w14:textId="2BEA7CFA" w:rsidR="00254E30" w:rsidRPr="00991BFE" w:rsidRDefault="00303FF2" w:rsidP="00D37E6E">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Parcelat që përfshihen në kategorinë ‘tokë pyjore’</w:t>
            </w:r>
          </w:p>
        </w:tc>
        <w:tc>
          <w:tcPr>
            <w:tcW w:w="0" w:type="auto"/>
          </w:tcPr>
          <w:p w14:paraId="2F7ECC36" w14:textId="7F7CA5B5" w:rsidR="00D37E6E" w:rsidRPr="00991BFE" w:rsidRDefault="001A386C" w:rsidP="001A386C">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0,05% - 0,15%</w:t>
            </w:r>
          </w:p>
        </w:tc>
      </w:tr>
      <w:tr w:rsidR="009C5DCA" w:rsidRPr="00991BFE" w14:paraId="61A68E16" w14:textId="77777777" w:rsidTr="001A386C">
        <w:trPr>
          <w:trHeight w:val="422"/>
        </w:trPr>
        <w:tc>
          <w:tcPr>
            <w:tcW w:w="0" w:type="auto"/>
          </w:tcPr>
          <w:p w14:paraId="261AB0AA" w14:textId="0EC12A6B" w:rsidR="00D37E6E" w:rsidRPr="00991BFE" w:rsidRDefault="00303FF2" w:rsidP="00D37E6E">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Parcelat që përfshihen në kategorinë ‘tokë truall’</w:t>
            </w:r>
          </w:p>
          <w:p w14:paraId="68F82FAA" w14:textId="77777777" w:rsidR="00254E30" w:rsidRPr="00991BFE" w:rsidRDefault="00254E30" w:rsidP="00D37E6E">
            <w:pPr>
              <w:jc w:val="center"/>
              <w:rPr>
                <w:rFonts w:ascii="Times New Roman" w:hAnsi="Times New Roman" w:cs="Times New Roman"/>
                <w:sz w:val="20"/>
                <w:szCs w:val="20"/>
                <w:lang w:val="sq-AL"/>
              </w:rPr>
            </w:pPr>
          </w:p>
        </w:tc>
        <w:tc>
          <w:tcPr>
            <w:tcW w:w="0" w:type="auto"/>
          </w:tcPr>
          <w:p w14:paraId="144978A8" w14:textId="25444D3E" w:rsidR="00D37E6E" w:rsidRPr="00991BFE" w:rsidRDefault="001A386C" w:rsidP="001A386C">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0,075% - 0,175%</w:t>
            </w:r>
          </w:p>
        </w:tc>
      </w:tr>
      <w:tr w:rsidR="009C5DCA" w:rsidRPr="00991BFE" w14:paraId="49EB491A" w14:textId="77777777" w:rsidTr="001A386C">
        <w:trPr>
          <w:trHeight w:val="211"/>
        </w:trPr>
        <w:tc>
          <w:tcPr>
            <w:tcW w:w="0" w:type="auto"/>
          </w:tcPr>
          <w:p w14:paraId="6AB64574" w14:textId="405DAB29" w:rsidR="00254E30" w:rsidRPr="00991BFE" w:rsidRDefault="00303FF2" w:rsidP="00D37E6E">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Parcelat që përfshihen në kategorinë ‘tokë me përdorime të tjera’</w:t>
            </w:r>
          </w:p>
        </w:tc>
        <w:tc>
          <w:tcPr>
            <w:tcW w:w="0" w:type="auto"/>
          </w:tcPr>
          <w:p w14:paraId="6D936089" w14:textId="68035FF0" w:rsidR="00D37E6E" w:rsidRPr="00991BFE" w:rsidRDefault="001A386C" w:rsidP="001A386C">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 xml:space="preserve">0,075% - 0,175% </w:t>
            </w:r>
          </w:p>
        </w:tc>
      </w:tr>
      <w:tr w:rsidR="009C5DCA" w:rsidRPr="00991BFE" w14:paraId="5C6B1428" w14:textId="77777777" w:rsidTr="001A386C">
        <w:trPr>
          <w:trHeight w:val="211"/>
        </w:trPr>
        <w:tc>
          <w:tcPr>
            <w:tcW w:w="0" w:type="auto"/>
          </w:tcPr>
          <w:p w14:paraId="21E3794C" w14:textId="2C5B4B39" w:rsidR="00254E30" w:rsidRPr="00991BFE" w:rsidRDefault="001A386C" w:rsidP="00D37E6E">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N</w:t>
            </w:r>
            <w:r w:rsidR="00303FF2" w:rsidRPr="00991BFE">
              <w:rPr>
                <w:rFonts w:ascii="Times New Roman" w:hAnsi="Times New Roman" w:cs="Times New Roman"/>
                <w:sz w:val="20"/>
                <w:szCs w:val="20"/>
                <w:lang w:val="sq-AL"/>
              </w:rPr>
              <w:t>jësitë e ndërtesave që përfshihen në kategorinë ‘ndërtesa për banim’</w:t>
            </w:r>
          </w:p>
        </w:tc>
        <w:tc>
          <w:tcPr>
            <w:tcW w:w="0" w:type="auto"/>
          </w:tcPr>
          <w:p w14:paraId="2EB121D1" w14:textId="0CDD08A4" w:rsidR="00D37E6E" w:rsidRPr="00991BFE" w:rsidRDefault="001A386C" w:rsidP="001A386C">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 xml:space="preserve">0,1% - 0,2% </w:t>
            </w:r>
          </w:p>
        </w:tc>
      </w:tr>
      <w:tr w:rsidR="009C5DCA" w:rsidRPr="00991BFE" w14:paraId="6CF0183D" w14:textId="77777777" w:rsidTr="001A386C">
        <w:trPr>
          <w:trHeight w:val="211"/>
        </w:trPr>
        <w:tc>
          <w:tcPr>
            <w:tcW w:w="0" w:type="auto"/>
          </w:tcPr>
          <w:p w14:paraId="4BA882D5" w14:textId="05A37BFC" w:rsidR="00254E30" w:rsidRPr="00991BFE" w:rsidRDefault="001A386C" w:rsidP="001A386C">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N</w:t>
            </w:r>
            <w:r w:rsidR="00303FF2" w:rsidRPr="00991BFE">
              <w:rPr>
                <w:rFonts w:ascii="Times New Roman" w:hAnsi="Times New Roman" w:cs="Times New Roman"/>
                <w:sz w:val="20"/>
                <w:szCs w:val="20"/>
                <w:lang w:val="sq-AL"/>
              </w:rPr>
              <w:t>jësitë e ndërtesave që përfshihen në kategorinë ‘ndërtesa për veprimtari ekonomike’</w:t>
            </w:r>
          </w:p>
        </w:tc>
        <w:tc>
          <w:tcPr>
            <w:tcW w:w="0" w:type="auto"/>
          </w:tcPr>
          <w:p w14:paraId="1AAFFFAC" w14:textId="41AEB0CA" w:rsidR="00D37E6E" w:rsidRPr="00991BFE" w:rsidRDefault="001A386C" w:rsidP="001A386C">
            <w:pPr>
              <w:jc w:val="center"/>
              <w:rPr>
                <w:rFonts w:ascii="Times New Roman" w:hAnsi="Times New Roman" w:cs="Times New Roman"/>
                <w:sz w:val="20"/>
                <w:szCs w:val="20"/>
                <w:lang w:val="sq-AL"/>
              </w:rPr>
            </w:pPr>
            <w:r w:rsidRPr="00991BFE">
              <w:rPr>
                <w:rFonts w:ascii="Times New Roman" w:hAnsi="Times New Roman" w:cs="Times New Roman"/>
                <w:sz w:val="20"/>
                <w:szCs w:val="20"/>
                <w:lang w:val="sq-AL"/>
              </w:rPr>
              <w:t xml:space="preserve">0,15% - 0,25% </w:t>
            </w:r>
          </w:p>
        </w:tc>
      </w:tr>
    </w:tbl>
    <w:p w14:paraId="752F826A" w14:textId="77777777" w:rsidR="00B9029B" w:rsidRPr="00991BFE" w:rsidRDefault="00B9029B" w:rsidP="008D0BE8">
      <w:pPr>
        <w:spacing w:line="276" w:lineRule="auto"/>
        <w:jc w:val="both"/>
        <w:rPr>
          <w:rFonts w:ascii="Times New Roman" w:hAnsi="Times New Roman" w:cs="Times New Roman"/>
          <w:sz w:val="24"/>
          <w:szCs w:val="24"/>
          <w:lang w:val="sq-AL"/>
        </w:rPr>
      </w:pPr>
    </w:p>
    <w:p w14:paraId="4C4DB916" w14:textId="2356D9CB" w:rsidR="003C14B4" w:rsidRPr="00991BFE" w:rsidRDefault="006D047F" w:rsidP="008D0BE8">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Ndërsa</w:t>
      </w:r>
      <w:r w:rsidR="009F5107" w:rsidRPr="00991BFE">
        <w:rPr>
          <w:rFonts w:ascii="Times New Roman" w:hAnsi="Times New Roman" w:cs="Times New Roman"/>
          <w:sz w:val="24"/>
          <w:szCs w:val="24"/>
          <w:lang w:val="sq-AL"/>
        </w:rPr>
        <w:t xml:space="preserve"> s</w:t>
      </w:r>
      <w:r w:rsidR="00B9029B" w:rsidRPr="00991BFE">
        <w:rPr>
          <w:rFonts w:ascii="Times New Roman" w:hAnsi="Times New Roman" w:cs="Times New Roman"/>
          <w:sz w:val="24"/>
          <w:szCs w:val="24"/>
          <w:lang w:val="sq-AL"/>
        </w:rPr>
        <w:t xml:space="preserve">hkalla </w:t>
      </w:r>
      <w:r w:rsidR="00295736" w:rsidRPr="00991BFE">
        <w:rPr>
          <w:rFonts w:ascii="Times New Roman" w:hAnsi="Times New Roman" w:cs="Times New Roman"/>
          <w:sz w:val="24"/>
          <w:szCs w:val="24"/>
          <w:lang w:val="sq-AL"/>
        </w:rPr>
        <w:t>e taksës për ndërtesën e papërfunduar është 30% (tridhjetë përqind) e shkallës së taksës së kategorisë përkatëse të taksimit ku është klasifikuar ndërtesa e papërfunduar</w:t>
      </w:r>
      <w:r w:rsidR="00B9029B" w:rsidRPr="00991BFE">
        <w:rPr>
          <w:rFonts w:ascii="Times New Roman" w:hAnsi="Times New Roman" w:cs="Times New Roman"/>
          <w:sz w:val="24"/>
          <w:szCs w:val="24"/>
          <w:lang w:val="sq-AL"/>
        </w:rPr>
        <w:t>.</w:t>
      </w:r>
    </w:p>
    <w:p w14:paraId="3E541FAD" w14:textId="2684E2F3" w:rsidR="00513243" w:rsidRPr="00991BFE" w:rsidRDefault="008D0BE8" w:rsidP="00CB1A8E">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Për përcaktimin e kufijve të shkallëve të taksë</w:t>
      </w:r>
      <w:r w:rsidR="003C14B4" w:rsidRPr="00991BFE">
        <w:rPr>
          <w:rFonts w:ascii="Times New Roman" w:hAnsi="Times New Roman" w:cs="Times New Roman"/>
          <w:sz w:val="24"/>
          <w:szCs w:val="24"/>
          <w:lang w:val="sq-AL"/>
        </w:rPr>
        <w:t>s,</w:t>
      </w:r>
      <w:r w:rsidR="009C6A9F"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janë marrë parasysh faktorë të ndryshëm si,</w:t>
      </w:r>
      <w:r w:rsidR="009C6A9F"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 xml:space="preserve">targeti mbi ardhurat, ndikimi në barrën tatimore të taksapaguesve të ndryshëm, </w:t>
      </w:r>
      <w:r w:rsidR="003D0F2F" w:rsidRPr="00991BFE">
        <w:rPr>
          <w:rFonts w:ascii="Times New Roman" w:hAnsi="Times New Roman" w:cs="Times New Roman"/>
          <w:sz w:val="24"/>
          <w:szCs w:val="24"/>
          <w:lang w:val="sq-AL"/>
        </w:rPr>
        <w:t xml:space="preserve">shkallët/nivelet aktuale të taksave sipas legjislacionit në fuqi, </w:t>
      </w:r>
      <w:r w:rsidR="00C45166" w:rsidRPr="00991BFE">
        <w:rPr>
          <w:rFonts w:ascii="Times New Roman" w:hAnsi="Times New Roman" w:cs="Times New Roman"/>
          <w:sz w:val="24"/>
          <w:szCs w:val="24"/>
          <w:lang w:val="sq-AL"/>
        </w:rPr>
        <w:t>shkallët/nivelet e taksave n</w:t>
      </w:r>
      <w:r w:rsidRPr="00991BFE">
        <w:rPr>
          <w:rFonts w:ascii="Times New Roman" w:hAnsi="Times New Roman" w:cs="Times New Roman"/>
          <w:sz w:val="24"/>
          <w:szCs w:val="24"/>
          <w:lang w:val="sq-AL"/>
        </w:rPr>
        <w:t>ë vendet e tjera, politika të ndryshme zhvillimi dhe praktikat më të mira ndërkombëtare</w:t>
      </w:r>
      <w:r w:rsidR="00513243" w:rsidRPr="00991BFE">
        <w:rPr>
          <w:rFonts w:ascii="Times New Roman" w:hAnsi="Times New Roman" w:cs="Times New Roman"/>
          <w:sz w:val="24"/>
          <w:szCs w:val="24"/>
          <w:lang w:val="sq-AL"/>
        </w:rPr>
        <w:t>.</w:t>
      </w:r>
      <w:r w:rsidR="00CB1A8E" w:rsidRPr="00991BFE">
        <w:rPr>
          <w:rFonts w:ascii="Times New Roman" w:hAnsi="Times New Roman" w:cs="Times New Roman"/>
          <w:sz w:val="24"/>
          <w:szCs w:val="24"/>
          <w:lang w:val="sq-AL"/>
        </w:rPr>
        <w:t xml:space="preserve"> </w:t>
      </w:r>
    </w:p>
    <w:p w14:paraId="2C01DC04" w14:textId="7E68231C" w:rsidR="00CB1A8E" w:rsidRPr="00991BFE" w:rsidRDefault="009F5107" w:rsidP="00CB1A8E">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Me qëllim</w:t>
      </w:r>
      <w:r w:rsidR="00CB1A8E" w:rsidRPr="00991BFE">
        <w:rPr>
          <w:rFonts w:ascii="Times New Roman" w:hAnsi="Times New Roman" w:cs="Times New Roman"/>
          <w:sz w:val="24"/>
          <w:szCs w:val="24"/>
          <w:lang w:val="sq-AL"/>
        </w:rPr>
        <w:t xml:space="preserve"> garant</w:t>
      </w:r>
      <w:r w:rsidRPr="00991BFE">
        <w:rPr>
          <w:rFonts w:ascii="Times New Roman" w:hAnsi="Times New Roman" w:cs="Times New Roman"/>
          <w:sz w:val="24"/>
          <w:szCs w:val="24"/>
          <w:lang w:val="sq-AL"/>
        </w:rPr>
        <w:t>imin</w:t>
      </w:r>
      <w:r w:rsidR="00CB1A8E"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 xml:space="preserve">e </w:t>
      </w:r>
      <w:r w:rsidR="00CB1A8E" w:rsidRPr="00991BFE">
        <w:rPr>
          <w:rFonts w:ascii="Times New Roman" w:hAnsi="Times New Roman" w:cs="Times New Roman"/>
          <w:sz w:val="24"/>
          <w:szCs w:val="24"/>
          <w:lang w:val="sq-AL"/>
        </w:rPr>
        <w:t>autonomi</w:t>
      </w:r>
      <w:r w:rsidRPr="00991BFE">
        <w:rPr>
          <w:rFonts w:ascii="Times New Roman" w:hAnsi="Times New Roman" w:cs="Times New Roman"/>
          <w:sz w:val="24"/>
          <w:szCs w:val="24"/>
          <w:lang w:val="sq-AL"/>
        </w:rPr>
        <w:t>s</w:t>
      </w:r>
      <w:r w:rsidR="00CB1A8E" w:rsidRPr="00991BFE">
        <w:rPr>
          <w:rFonts w:ascii="Times New Roman" w:hAnsi="Times New Roman" w:cs="Times New Roman"/>
          <w:sz w:val="24"/>
          <w:szCs w:val="24"/>
          <w:lang w:val="sq-AL"/>
        </w:rPr>
        <w:t xml:space="preserve">ë fiskale vendore lidhur me gjenerimin e të ardhurave, llogaridhënien dhe efikasitetin, bashkitë autorizohen sipas këtij neni të caktojnë shkallët e taksës </w:t>
      </w:r>
      <w:r w:rsidR="00513243" w:rsidRPr="00991BFE">
        <w:rPr>
          <w:rFonts w:ascii="Times New Roman" w:hAnsi="Times New Roman" w:cs="Times New Roman"/>
          <w:sz w:val="24"/>
          <w:szCs w:val="24"/>
          <w:lang w:val="sq-AL"/>
        </w:rPr>
        <w:t xml:space="preserve"> dhe t’ia  dërgojnë ato </w:t>
      </w:r>
      <w:r w:rsidR="00485190" w:rsidRPr="00991BFE">
        <w:rPr>
          <w:rFonts w:ascii="Times New Roman" w:hAnsi="Times New Roman" w:cs="Times New Roman"/>
          <w:sz w:val="24"/>
          <w:szCs w:val="24"/>
          <w:lang w:val="sq-AL"/>
        </w:rPr>
        <w:t xml:space="preserve">më pas </w:t>
      </w:r>
      <w:r w:rsidR="00513243" w:rsidRPr="00991BFE">
        <w:rPr>
          <w:rFonts w:ascii="Times New Roman" w:hAnsi="Times New Roman" w:cs="Times New Roman"/>
          <w:sz w:val="24"/>
          <w:szCs w:val="24"/>
          <w:lang w:val="sq-AL"/>
        </w:rPr>
        <w:t>Drejtorisë së Përgjithshme të Taksës së Pasurisë</w:t>
      </w:r>
      <w:r w:rsidR="00485190" w:rsidRPr="00991BFE">
        <w:rPr>
          <w:rFonts w:ascii="Times New Roman" w:hAnsi="Times New Roman" w:cs="Times New Roman"/>
          <w:sz w:val="24"/>
          <w:szCs w:val="24"/>
          <w:lang w:val="sq-AL"/>
        </w:rPr>
        <w:t>.</w:t>
      </w:r>
      <w:r w:rsidR="007D200A" w:rsidRPr="00991BFE">
        <w:rPr>
          <w:rFonts w:ascii="Times New Roman" w:hAnsi="Times New Roman" w:cs="Times New Roman"/>
          <w:sz w:val="24"/>
          <w:szCs w:val="24"/>
          <w:lang w:val="sq-AL"/>
        </w:rPr>
        <w:t xml:space="preserve"> Bashkia </w:t>
      </w:r>
      <w:r w:rsidR="001822CC" w:rsidRPr="00991BFE">
        <w:rPr>
          <w:rFonts w:ascii="Times New Roman" w:hAnsi="Times New Roman" w:cs="Times New Roman"/>
          <w:sz w:val="24"/>
          <w:szCs w:val="24"/>
          <w:lang w:val="sq-AL"/>
        </w:rPr>
        <w:t xml:space="preserve">duhet të dërgojë </w:t>
      </w:r>
      <w:r w:rsidR="007D200A" w:rsidRPr="00991BFE">
        <w:rPr>
          <w:rFonts w:ascii="Times New Roman" w:hAnsi="Times New Roman" w:cs="Times New Roman"/>
          <w:sz w:val="24"/>
          <w:szCs w:val="24"/>
          <w:lang w:val="sq-AL"/>
        </w:rPr>
        <w:t xml:space="preserve">shkallët e taksës, </w:t>
      </w:r>
      <w:r w:rsidR="00513243" w:rsidRPr="00991BFE">
        <w:rPr>
          <w:rFonts w:ascii="Times New Roman" w:hAnsi="Times New Roman" w:cs="Times New Roman"/>
          <w:sz w:val="24"/>
          <w:szCs w:val="24"/>
          <w:lang w:val="sq-AL"/>
        </w:rPr>
        <w:t xml:space="preserve">jo më vonë se data </w:t>
      </w:r>
      <w:r w:rsidR="00F16848" w:rsidRPr="00991BFE">
        <w:rPr>
          <w:rFonts w:ascii="Times New Roman" w:hAnsi="Times New Roman" w:cs="Times New Roman"/>
          <w:sz w:val="24"/>
          <w:szCs w:val="24"/>
          <w:lang w:val="sq-AL"/>
        </w:rPr>
        <w:t>7 shkurt e vitit tatimor</w:t>
      </w:r>
      <w:r w:rsidR="006803D8" w:rsidRPr="00991BFE">
        <w:rPr>
          <w:rFonts w:ascii="Times New Roman" w:hAnsi="Times New Roman" w:cs="Times New Roman"/>
          <w:sz w:val="24"/>
          <w:szCs w:val="24"/>
          <w:lang w:val="sq-AL"/>
        </w:rPr>
        <w:t>.</w:t>
      </w:r>
    </w:p>
    <w:p w14:paraId="228D5C0D" w14:textId="4F7D84A8" w:rsidR="006803D8" w:rsidRPr="00991BFE" w:rsidRDefault="006803D8" w:rsidP="006803D8">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Nëse Bashkia nuk i dërgon shkallët e taksës deri në datën </w:t>
      </w:r>
      <w:r w:rsidR="00F16848" w:rsidRPr="00991BFE">
        <w:rPr>
          <w:rFonts w:ascii="Times New Roman" w:hAnsi="Times New Roman" w:cs="Times New Roman"/>
          <w:sz w:val="24"/>
          <w:szCs w:val="24"/>
          <w:lang w:val="sq-AL"/>
        </w:rPr>
        <w:t>7 shkurt t</w:t>
      </w:r>
      <w:r w:rsidR="00BD351D" w:rsidRPr="00991BFE">
        <w:rPr>
          <w:rFonts w:ascii="Times New Roman" w:hAnsi="Times New Roman" w:cs="Times New Roman"/>
          <w:sz w:val="24"/>
          <w:szCs w:val="24"/>
          <w:lang w:val="sq-AL"/>
        </w:rPr>
        <w:t>ë</w:t>
      </w:r>
      <w:r w:rsidR="00F16848" w:rsidRPr="00991BFE">
        <w:rPr>
          <w:rFonts w:ascii="Times New Roman" w:hAnsi="Times New Roman" w:cs="Times New Roman"/>
          <w:sz w:val="24"/>
          <w:szCs w:val="24"/>
          <w:lang w:val="sq-AL"/>
        </w:rPr>
        <w:t xml:space="preserve"> vitit tatimor</w:t>
      </w:r>
      <w:r w:rsidRPr="00991BFE">
        <w:rPr>
          <w:rFonts w:ascii="Times New Roman" w:hAnsi="Times New Roman" w:cs="Times New Roman"/>
          <w:sz w:val="24"/>
          <w:szCs w:val="24"/>
          <w:lang w:val="sq-AL"/>
        </w:rPr>
        <w:t>, zbatohet</w:t>
      </w:r>
      <w:r w:rsidR="00485190" w:rsidRPr="00991BFE">
        <w:rPr>
          <w:rFonts w:ascii="Times New Roman" w:hAnsi="Times New Roman" w:cs="Times New Roman"/>
          <w:sz w:val="24"/>
          <w:szCs w:val="24"/>
          <w:lang w:val="sq-AL"/>
        </w:rPr>
        <w:t xml:space="preserve">, sipas parashikimeve në nenin 12, </w:t>
      </w:r>
      <w:r w:rsidR="003E073A" w:rsidRPr="00991BFE">
        <w:rPr>
          <w:rFonts w:ascii="Times New Roman" w:hAnsi="Times New Roman" w:cs="Times New Roman"/>
          <w:sz w:val="24"/>
          <w:szCs w:val="24"/>
          <w:lang w:val="sq-AL"/>
        </w:rPr>
        <w:t>shkalla e fundit e taksës e përcaktuar nga Këshilli Bashkiak</w:t>
      </w:r>
      <w:r w:rsidRPr="00991BFE">
        <w:rPr>
          <w:rFonts w:ascii="Times New Roman" w:hAnsi="Times New Roman" w:cs="Times New Roman"/>
          <w:sz w:val="24"/>
          <w:szCs w:val="24"/>
          <w:lang w:val="sq-AL"/>
        </w:rPr>
        <w:t>, për kategorinë përkatëse</w:t>
      </w:r>
      <w:r w:rsidR="00485190" w:rsidRPr="00991BFE">
        <w:rPr>
          <w:rFonts w:ascii="Times New Roman" w:hAnsi="Times New Roman" w:cs="Times New Roman"/>
          <w:sz w:val="24"/>
          <w:szCs w:val="24"/>
          <w:lang w:val="sq-AL"/>
        </w:rPr>
        <w:t>. Në</w:t>
      </w:r>
      <w:r w:rsidRPr="00991BFE">
        <w:rPr>
          <w:rFonts w:ascii="Times New Roman" w:hAnsi="Times New Roman" w:cs="Times New Roman"/>
          <w:sz w:val="24"/>
          <w:szCs w:val="24"/>
          <w:lang w:val="sq-AL"/>
        </w:rPr>
        <w:t xml:space="preserve"> rast se shkalla e taksës për atë kategori nuk është caktuar ndonjëherë, </w:t>
      </w:r>
      <w:r w:rsidR="00485190" w:rsidRPr="00991BFE">
        <w:rPr>
          <w:rFonts w:ascii="Times New Roman" w:hAnsi="Times New Roman" w:cs="Times New Roman"/>
          <w:sz w:val="24"/>
          <w:szCs w:val="24"/>
          <w:lang w:val="sq-AL"/>
        </w:rPr>
        <w:t xml:space="preserve">atëherë zbatohet </w:t>
      </w:r>
      <w:r w:rsidRPr="00991BFE">
        <w:rPr>
          <w:rFonts w:ascii="Times New Roman" w:hAnsi="Times New Roman" w:cs="Times New Roman"/>
          <w:sz w:val="24"/>
          <w:szCs w:val="24"/>
          <w:lang w:val="sq-AL"/>
        </w:rPr>
        <w:t>shkalla më e ulët e taksës, për atë kategori.</w:t>
      </w:r>
    </w:p>
    <w:p w14:paraId="6EEEE3DF" w14:textId="470A304E" w:rsidR="005F7B28" w:rsidRPr="00991BFE" w:rsidRDefault="005373A4"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13,</w:t>
      </w:r>
      <w:r w:rsidR="00EA4687" w:rsidRPr="00991BFE">
        <w:rPr>
          <w:rFonts w:ascii="Times New Roman" w:hAnsi="Times New Roman" w:cs="Times New Roman"/>
          <w:sz w:val="24"/>
          <w:szCs w:val="24"/>
          <w:lang w:val="sq-AL"/>
        </w:rPr>
        <w:t xml:space="preserve"> </w:t>
      </w:r>
      <w:r w:rsidR="005F7B28"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5F7B28" w:rsidRPr="00991BFE">
        <w:rPr>
          <w:rFonts w:ascii="Times New Roman" w:hAnsi="Times New Roman" w:cs="Times New Roman"/>
          <w:sz w:val="24"/>
          <w:szCs w:val="24"/>
          <w:lang w:val="sq-AL"/>
        </w:rPr>
        <w:t xml:space="preserve">rcakton </w:t>
      </w:r>
      <w:r w:rsidR="005D1993" w:rsidRPr="00991BFE">
        <w:rPr>
          <w:rFonts w:ascii="Times New Roman" w:hAnsi="Times New Roman" w:cs="Times New Roman"/>
          <w:sz w:val="24"/>
          <w:szCs w:val="24"/>
          <w:lang w:val="sq-AL"/>
        </w:rPr>
        <w:t>përgjegjësitë</w:t>
      </w:r>
      <w:r w:rsidR="005F7B28" w:rsidRPr="00991BFE">
        <w:rPr>
          <w:rFonts w:ascii="Times New Roman" w:hAnsi="Times New Roman" w:cs="Times New Roman"/>
          <w:sz w:val="24"/>
          <w:szCs w:val="24"/>
          <w:lang w:val="sq-AL"/>
        </w:rPr>
        <w:t xml:space="preserve"> e bashkive për administrimin e taksës  </w:t>
      </w:r>
      <w:r w:rsidR="006803D8" w:rsidRPr="00991BFE">
        <w:rPr>
          <w:rFonts w:ascii="Times New Roman" w:hAnsi="Times New Roman" w:cs="Times New Roman"/>
          <w:sz w:val="24"/>
          <w:szCs w:val="24"/>
          <w:lang w:val="sq-AL"/>
        </w:rPr>
        <w:t xml:space="preserve">mbi </w:t>
      </w:r>
      <w:r w:rsidR="005F7B28" w:rsidRPr="00991BFE">
        <w:rPr>
          <w:rFonts w:ascii="Times New Roman" w:hAnsi="Times New Roman" w:cs="Times New Roman"/>
          <w:sz w:val="24"/>
          <w:szCs w:val="24"/>
          <w:lang w:val="sq-AL"/>
        </w:rPr>
        <w:t>pasuri</w:t>
      </w:r>
      <w:r w:rsidR="006803D8" w:rsidRPr="00991BFE">
        <w:rPr>
          <w:rFonts w:ascii="Times New Roman" w:hAnsi="Times New Roman" w:cs="Times New Roman"/>
          <w:sz w:val="24"/>
          <w:szCs w:val="24"/>
          <w:lang w:val="sq-AL"/>
        </w:rPr>
        <w:t>n</w:t>
      </w:r>
      <w:r w:rsidR="005F7B28" w:rsidRPr="00991BFE">
        <w:rPr>
          <w:rFonts w:ascii="Times New Roman" w:hAnsi="Times New Roman" w:cs="Times New Roman"/>
          <w:sz w:val="24"/>
          <w:szCs w:val="24"/>
          <w:lang w:val="sq-AL"/>
        </w:rPr>
        <w:t>ë</w:t>
      </w:r>
      <w:r w:rsidR="006803D8" w:rsidRPr="00991BFE">
        <w:rPr>
          <w:rFonts w:ascii="Times New Roman" w:hAnsi="Times New Roman" w:cs="Times New Roman"/>
          <w:sz w:val="24"/>
          <w:szCs w:val="24"/>
          <w:lang w:val="sq-AL"/>
        </w:rPr>
        <w:t xml:space="preserve"> e paluajtshme</w:t>
      </w:r>
      <w:r w:rsidR="005F7B28" w:rsidRPr="00991BFE">
        <w:rPr>
          <w:rFonts w:ascii="Times New Roman" w:hAnsi="Times New Roman" w:cs="Times New Roman"/>
          <w:sz w:val="24"/>
          <w:szCs w:val="24"/>
          <w:lang w:val="sq-AL"/>
        </w:rPr>
        <w:t>, për pasuritë e paluajtshme që ndodhen brenda territorit të saj</w:t>
      </w:r>
      <w:r w:rsidR="009C5DCA" w:rsidRPr="00991BFE">
        <w:rPr>
          <w:rFonts w:ascii="Times New Roman" w:hAnsi="Times New Roman" w:cs="Times New Roman"/>
          <w:sz w:val="24"/>
          <w:szCs w:val="24"/>
          <w:lang w:val="sq-AL"/>
        </w:rPr>
        <w:t>.</w:t>
      </w:r>
    </w:p>
    <w:p w14:paraId="28AD1DBD" w14:textId="5A06D81E" w:rsidR="00036EA2" w:rsidRPr="00991BFE" w:rsidRDefault="005F7B28"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bCs/>
          <w:sz w:val="24"/>
          <w:szCs w:val="24"/>
          <w:lang w:val="sq-AL"/>
        </w:rPr>
        <w:t xml:space="preserve">Neni 14, </w:t>
      </w:r>
      <w:r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rcakton se Drejtoria e Përgjithshme e Taksës së Pasurisë </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sht</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personi juridik, publik, buxhetor, në varësi të </w:t>
      </w:r>
      <w:r w:rsidR="006803D8" w:rsidRPr="00991BFE">
        <w:rPr>
          <w:rFonts w:ascii="Times New Roman" w:hAnsi="Times New Roman" w:cs="Times New Roman"/>
          <w:sz w:val="24"/>
          <w:szCs w:val="24"/>
          <w:lang w:val="sq-AL"/>
        </w:rPr>
        <w:t>m</w:t>
      </w:r>
      <w:r w:rsidRPr="00991BFE">
        <w:rPr>
          <w:rFonts w:ascii="Times New Roman" w:hAnsi="Times New Roman" w:cs="Times New Roman"/>
          <w:sz w:val="24"/>
          <w:szCs w:val="24"/>
          <w:lang w:val="sq-AL"/>
        </w:rPr>
        <w:t>inistrit përgjegjës për financat, p</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rgjegj</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w:t>
      </w:r>
      <w:r w:rsidR="00036EA2" w:rsidRPr="00991BFE">
        <w:rPr>
          <w:rFonts w:ascii="Times New Roman" w:hAnsi="Times New Roman" w:cs="Times New Roman"/>
          <w:sz w:val="24"/>
          <w:szCs w:val="24"/>
          <w:lang w:val="sq-AL"/>
        </w:rPr>
        <w:t>e</w:t>
      </w:r>
      <w:r w:rsidRPr="00991BFE">
        <w:rPr>
          <w:rFonts w:ascii="Times New Roman" w:hAnsi="Times New Roman" w:cs="Times New Roman"/>
          <w:sz w:val="24"/>
          <w:szCs w:val="24"/>
          <w:lang w:val="sq-AL"/>
        </w:rPr>
        <w:t xml:space="preserve"> p</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w:t>
      </w:r>
      <w:r w:rsidR="003E073A" w:rsidRPr="00991BFE">
        <w:rPr>
          <w:lang w:val="sq-AL"/>
        </w:rPr>
        <w:t xml:space="preserve"> </w:t>
      </w:r>
      <w:r w:rsidR="003E073A" w:rsidRPr="00991BFE">
        <w:rPr>
          <w:rFonts w:ascii="Times New Roman" w:hAnsi="Times New Roman" w:cs="Times New Roman"/>
          <w:sz w:val="24"/>
          <w:szCs w:val="24"/>
          <w:lang w:val="sq-AL"/>
        </w:rPr>
        <w:t xml:space="preserve">administrimin e Kadastrës Fiskale; </w:t>
      </w:r>
      <w:r w:rsidR="006D047F" w:rsidRPr="00991BFE">
        <w:rPr>
          <w:rFonts w:ascii="Times New Roman" w:hAnsi="Times New Roman" w:cs="Times New Roman"/>
          <w:sz w:val="24"/>
          <w:szCs w:val="24"/>
          <w:lang w:val="sq-AL"/>
        </w:rPr>
        <w:t>si edhe</w:t>
      </w:r>
      <w:r w:rsidR="003E073A" w:rsidRPr="00991BFE">
        <w:rPr>
          <w:rFonts w:ascii="Times New Roman" w:hAnsi="Times New Roman" w:cs="Times New Roman"/>
          <w:sz w:val="24"/>
          <w:szCs w:val="24"/>
          <w:lang w:val="sq-AL"/>
        </w:rPr>
        <w:t xml:space="preserve"> udhëheqjen dhe mbështetjen e Bashkive në punën për zbatimin e legjislacionit për taksimin e pasurive të paluajtshme. </w:t>
      </w:r>
      <w:r w:rsidR="00485190" w:rsidRPr="00991BFE">
        <w:rPr>
          <w:rFonts w:ascii="Times New Roman" w:hAnsi="Times New Roman" w:cs="Times New Roman"/>
          <w:sz w:val="24"/>
          <w:szCs w:val="24"/>
          <w:lang w:val="sq-AL"/>
        </w:rPr>
        <w:t>Në përputhje me parashikimet e këtij neni, o</w:t>
      </w:r>
      <w:r w:rsidRPr="00991BFE">
        <w:rPr>
          <w:rFonts w:ascii="Times New Roman" w:hAnsi="Times New Roman" w:cs="Times New Roman"/>
          <w:sz w:val="24"/>
          <w:szCs w:val="24"/>
          <w:lang w:val="sq-AL"/>
        </w:rPr>
        <w:t>rganizimi</w:t>
      </w:r>
      <w:r w:rsidR="003E073A" w:rsidRPr="00991BFE">
        <w:rPr>
          <w:rFonts w:ascii="Times New Roman" w:hAnsi="Times New Roman" w:cs="Times New Roman"/>
          <w:sz w:val="24"/>
          <w:szCs w:val="24"/>
          <w:lang w:val="sq-AL"/>
        </w:rPr>
        <w:t>, funksionimi dhe përgjegjësitë</w:t>
      </w:r>
      <w:r w:rsidRPr="00991BFE">
        <w:rPr>
          <w:rFonts w:ascii="Times New Roman" w:hAnsi="Times New Roman" w:cs="Times New Roman"/>
          <w:sz w:val="24"/>
          <w:szCs w:val="24"/>
          <w:lang w:val="sq-AL"/>
        </w:rPr>
        <w:t xml:space="preserve"> </w:t>
      </w:r>
      <w:r w:rsidR="003E073A" w:rsidRPr="00991BFE">
        <w:rPr>
          <w:rFonts w:ascii="Times New Roman" w:hAnsi="Times New Roman" w:cs="Times New Roman"/>
          <w:sz w:val="24"/>
          <w:szCs w:val="24"/>
          <w:lang w:val="sq-AL"/>
        </w:rPr>
        <w:t>e</w:t>
      </w:r>
      <w:r w:rsidRPr="00991BFE">
        <w:rPr>
          <w:rFonts w:ascii="Times New Roman" w:hAnsi="Times New Roman" w:cs="Times New Roman"/>
          <w:sz w:val="24"/>
          <w:szCs w:val="24"/>
          <w:lang w:val="sq-AL"/>
        </w:rPr>
        <w:t xml:space="preserve"> Drejtorisë së Përgjithshme të Taksës së Pasurisë </w:t>
      </w:r>
      <w:r w:rsidR="00485190" w:rsidRPr="00991BFE">
        <w:rPr>
          <w:rFonts w:ascii="Times New Roman" w:hAnsi="Times New Roman" w:cs="Times New Roman"/>
          <w:sz w:val="24"/>
          <w:szCs w:val="24"/>
          <w:lang w:val="sq-AL"/>
        </w:rPr>
        <w:t xml:space="preserve">do të </w:t>
      </w:r>
      <w:r w:rsidRPr="00991BFE">
        <w:rPr>
          <w:rFonts w:ascii="Times New Roman" w:hAnsi="Times New Roman" w:cs="Times New Roman"/>
          <w:sz w:val="24"/>
          <w:szCs w:val="24"/>
          <w:lang w:val="sq-AL"/>
        </w:rPr>
        <w:t xml:space="preserve">përcaktohen me </w:t>
      </w:r>
      <w:r w:rsidR="003E073A" w:rsidRPr="00991BFE">
        <w:rPr>
          <w:rFonts w:ascii="Times New Roman" w:hAnsi="Times New Roman" w:cs="Times New Roman"/>
          <w:sz w:val="24"/>
          <w:szCs w:val="24"/>
          <w:lang w:val="sq-AL"/>
        </w:rPr>
        <w:t>V</w:t>
      </w:r>
      <w:r w:rsidRPr="00991BFE">
        <w:rPr>
          <w:rFonts w:ascii="Times New Roman" w:hAnsi="Times New Roman" w:cs="Times New Roman"/>
          <w:sz w:val="24"/>
          <w:szCs w:val="24"/>
          <w:lang w:val="sq-AL"/>
        </w:rPr>
        <w:t>endim të Këshillit të Ministrave</w:t>
      </w:r>
    </w:p>
    <w:p w14:paraId="57048B6D" w14:textId="2B414C34" w:rsidR="009A0F5A" w:rsidRPr="00991BFE" w:rsidRDefault="00ED11A6"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15,</w:t>
      </w:r>
      <w:r w:rsidR="00156E9B" w:rsidRPr="00991BFE">
        <w:rPr>
          <w:rFonts w:ascii="Times New Roman" w:hAnsi="Times New Roman" w:cs="Times New Roman"/>
          <w:sz w:val="24"/>
          <w:szCs w:val="24"/>
          <w:lang w:val="sq-AL"/>
        </w:rPr>
        <w:t xml:space="preserve"> </w:t>
      </w:r>
      <w:r w:rsidR="005F7B28" w:rsidRPr="00991BFE">
        <w:rPr>
          <w:rFonts w:ascii="Times New Roman" w:hAnsi="Times New Roman" w:cs="Times New Roman"/>
          <w:sz w:val="24"/>
          <w:szCs w:val="24"/>
          <w:lang w:val="sq-AL"/>
        </w:rPr>
        <w:t>p</w:t>
      </w:r>
      <w:r w:rsidR="00DC6297" w:rsidRPr="00991BFE">
        <w:rPr>
          <w:rFonts w:ascii="Times New Roman" w:hAnsi="Times New Roman" w:cs="Times New Roman"/>
          <w:sz w:val="24"/>
          <w:szCs w:val="24"/>
          <w:lang w:val="sq-AL"/>
        </w:rPr>
        <w:t>arashikon</w:t>
      </w:r>
      <w:r w:rsidR="005F7B28" w:rsidRPr="00991BFE">
        <w:rPr>
          <w:rFonts w:ascii="Times New Roman" w:hAnsi="Times New Roman" w:cs="Times New Roman"/>
          <w:sz w:val="24"/>
          <w:szCs w:val="24"/>
          <w:lang w:val="sq-AL"/>
        </w:rPr>
        <w:t xml:space="preserve"> krijimin e </w:t>
      </w:r>
      <w:r w:rsidR="009A0F5A" w:rsidRPr="00991BFE">
        <w:rPr>
          <w:rFonts w:ascii="Times New Roman" w:hAnsi="Times New Roman" w:cs="Times New Roman"/>
          <w:sz w:val="24"/>
          <w:szCs w:val="24"/>
          <w:lang w:val="sq-AL"/>
        </w:rPr>
        <w:t xml:space="preserve">një baze qendrore të dhënash, të emërtuar </w:t>
      </w:r>
      <w:r w:rsidR="005F7B28" w:rsidRPr="00991BFE">
        <w:rPr>
          <w:rFonts w:ascii="Times New Roman" w:hAnsi="Times New Roman" w:cs="Times New Roman"/>
          <w:sz w:val="24"/>
          <w:szCs w:val="24"/>
          <w:lang w:val="sq-AL"/>
        </w:rPr>
        <w:t>Kadastr</w:t>
      </w:r>
      <w:r w:rsidR="00C733FC" w:rsidRPr="00991BFE">
        <w:rPr>
          <w:rFonts w:ascii="Times New Roman" w:hAnsi="Times New Roman" w:cs="Times New Roman"/>
          <w:sz w:val="24"/>
          <w:szCs w:val="24"/>
          <w:lang w:val="sq-AL"/>
        </w:rPr>
        <w:t>a</w:t>
      </w:r>
      <w:r w:rsidR="005F7B28" w:rsidRPr="00991BFE">
        <w:rPr>
          <w:rFonts w:ascii="Times New Roman" w:hAnsi="Times New Roman" w:cs="Times New Roman"/>
          <w:sz w:val="24"/>
          <w:szCs w:val="24"/>
          <w:lang w:val="sq-AL"/>
        </w:rPr>
        <w:t xml:space="preserve"> Fiskale</w:t>
      </w:r>
      <w:r w:rsidR="009A0F5A" w:rsidRPr="00991BFE">
        <w:rPr>
          <w:rFonts w:ascii="Times New Roman" w:hAnsi="Times New Roman" w:cs="Times New Roman"/>
          <w:sz w:val="24"/>
          <w:szCs w:val="24"/>
          <w:lang w:val="sq-AL"/>
        </w:rPr>
        <w:t>,</w:t>
      </w:r>
      <w:r w:rsidR="005F7B28" w:rsidRPr="00991BFE">
        <w:rPr>
          <w:rFonts w:ascii="Times New Roman" w:hAnsi="Times New Roman" w:cs="Times New Roman"/>
          <w:sz w:val="24"/>
          <w:szCs w:val="24"/>
          <w:lang w:val="sq-AL"/>
        </w:rPr>
        <w:t xml:space="preserve"> me an</w:t>
      </w:r>
      <w:r w:rsidR="00D3437F" w:rsidRPr="00991BFE">
        <w:rPr>
          <w:rFonts w:ascii="Times New Roman" w:hAnsi="Times New Roman" w:cs="Times New Roman"/>
          <w:sz w:val="24"/>
          <w:szCs w:val="24"/>
          <w:lang w:val="sq-AL"/>
        </w:rPr>
        <w:t>ë</w:t>
      </w:r>
      <w:r w:rsidR="005F7B28" w:rsidRPr="00991BFE">
        <w:rPr>
          <w:rFonts w:ascii="Times New Roman" w:hAnsi="Times New Roman" w:cs="Times New Roman"/>
          <w:sz w:val="24"/>
          <w:szCs w:val="24"/>
          <w:lang w:val="sq-AL"/>
        </w:rPr>
        <w:t xml:space="preserve"> t</w:t>
      </w:r>
      <w:r w:rsidR="00D3437F" w:rsidRPr="00991BFE">
        <w:rPr>
          <w:rFonts w:ascii="Times New Roman" w:hAnsi="Times New Roman" w:cs="Times New Roman"/>
          <w:sz w:val="24"/>
          <w:szCs w:val="24"/>
          <w:lang w:val="sq-AL"/>
        </w:rPr>
        <w:t>ë</w:t>
      </w:r>
      <w:r w:rsidR="005F7B28" w:rsidRPr="00991BFE">
        <w:rPr>
          <w:rFonts w:ascii="Times New Roman" w:hAnsi="Times New Roman" w:cs="Times New Roman"/>
          <w:sz w:val="24"/>
          <w:szCs w:val="24"/>
          <w:lang w:val="sq-AL"/>
        </w:rPr>
        <w:t xml:space="preserve"> rregullores që miratohet me vendim të Këshillit të Ministrave.</w:t>
      </w:r>
    </w:p>
    <w:p w14:paraId="4586CFF1" w14:textId="2C5914E5" w:rsidR="009A0F5A" w:rsidRPr="00991BFE" w:rsidRDefault="00A36AD7"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Përgjegjësitë dhe procedurat për regjistrimin, përditësimin dhe korrigjimin e të dhënave në Kadastrën Fiskale, të dhënat që duhet të sigurohen për administrimin e përshtatshëm të taksës mbi pasurinë e paluajtshme, rregullat për mbledhjen dhe menaxhimin e tyre, prioriteti i të dhënave që përdoren për të përcaktuar vlerën e vlerësuar dhe rregullat për prezumimin e të dhënave që mungojnë, në funksion të llogaritjes së taksës mbi pasurinë e paluajtshme, përcaktohen në rregulloren që do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miratohet me vendim të Këshillit të Ministrave</w:t>
      </w:r>
      <w:r w:rsidR="00F4794D" w:rsidRPr="00991BFE">
        <w:rPr>
          <w:rFonts w:ascii="Times New Roman" w:hAnsi="Times New Roman" w:cs="Times New Roman"/>
          <w:sz w:val="24"/>
          <w:szCs w:val="24"/>
          <w:lang w:val="sq-AL"/>
        </w:rPr>
        <w:t>, në zbatim të këtij neni</w:t>
      </w:r>
      <w:r w:rsidR="005F7B28" w:rsidRPr="00991BFE">
        <w:rPr>
          <w:rFonts w:ascii="Times New Roman" w:hAnsi="Times New Roman" w:cs="Times New Roman"/>
          <w:sz w:val="24"/>
          <w:szCs w:val="24"/>
          <w:lang w:val="sq-AL"/>
        </w:rPr>
        <w:t>.</w:t>
      </w:r>
    </w:p>
    <w:p w14:paraId="4E6CBC33" w14:textId="4D588922" w:rsidR="009A524C" w:rsidRPr="00991BFE" w:rsidRDefault="009A6CC0"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w:t>
      </w:r>
      <w:r w:rsidR="008D06B6" w:rsidRPr="00991BFE">
        <w:rPr>
          <w:rFonts w:ascii="Times New Roman" w:hAnsi="Times New Roman" w:cs="Times New Roman"/>
          <w:b/>
          <w:sz w:val="24"/>
          <w:szCs w:val="24"/>
          <w:lang w:val="sq-AL"/>
        </w:rPr>
        <w:t>e</w:t>
      </w:r>
      <w:r w:rsidRPr="00991BFE">
        <w:rPr>
          <w:rFonts w:ascii="Times New Roman" w:hAnsi="Times New Roman" w:cs="Times New Roman"/>
          <w:b/>
          <w:sz w:val="24"/>
          <w:szCs w:val="24"/>
          <w:lang w:val="sq-AL"/>
        </w:rPr>
        <w:t>ni 16,</w:t>
      </w:r>
      <w:r w:rsidRPr="00991BFE">
        <w:rPr>
          <w:rFonts w:ascii="Times New Roman" w:hAnsi="Times New Roman" w:cs="Times New Roman"/>
          <w:sz w:val="24"/>
          <w:szCs w:val="24"/>
          <w:lang w:val="sq-AL"/>
        </w:rPr>
        <w:t xml:space="preserve">  p</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rcakton se </w:t>
      </w:r>
      <w:r w:rsidR="009A524C" w:rsidRPr="00991BFE">
        <w:rPr>
          <w:rFonts w:ascii="Times New Roman" w:hAnsi="Times New Roman" w:cs="Times New Roman"/>
          <w:sz w:val="24"/>
          <w:szCs w:val="24"/>
          <w:lang w:val="sq-AL"/>
        </w:rPr>
        <w:t>struktura përgjegjëse për taksën mbi pasurinë e paluajtshme në Bashki ka të drejtë të evidentojë në terren, pasuritë e paluajtshme që ndodhen brenda territorit të Bashkisë. Gjithashtu, bashkia mund të kontraktojë operatorë privatë, për të asistuar strukturën përgjegjëse për taksën mbi pasurinë e paluajtshme në Bashki për evidentimin në terren të pasurive të paluajtshme.</w:t>
      </w:r>
      <w:r w:rsidR="009A524C" w:rsidRPr="00991BFE">
        <w:rPr>
          <w:lang w:val="sq-AL"/>
        </w:rPr>
        <w:t xml:space="preserve"> </w:t>
      </w:r>
      <w:r w:rsidR="009A524C" w:rsidRPr="00991BFE">
        <w:rPr>
          <w:rFonts w:ascii="Times New Roman" w:hAnsi="Times New Roman" w:cs="Times New Roman"/>
          <w:sz w:val="24"/>
          <w:szCs w:val="24"/>
          <w:lang w:val="sq-AL"/>
        </w:rPr>
        <w:t>Operatorët privatë kontraktohen në përputhje me legjislacionin në fuqi, mbi procedurat e prokurimit publik.</w:t>
      </w:r>
      <w:r w:rsidR="009A524C" w:rsidRPr="00991BFE">
        <w:rPr>
          <w:lang w:val="sq-AL"/>
        </w:rPr>
        <w:t xml:space="preserve"> </w:t>
      </w:r>
      <w:r w:rsidR="009A524C" w:rsidRPr="00991BFE">
        <w:rPr>
          <w:rFonts w:ascii="Times New Roman" w:hAnsi="Times New Roman" w:cs="Times New Roman"/>
          <w:sz w:val="24"/>
          <w:szCs w:val="24"/>
          <w:lang w:val="sq-AL"/>
        </w:rPr>
        <w:t>Rregullat dhe procedurat për evidentimin në terren të pasurive të paluajtshme, do t</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 xml:space="preserve"> përcaktohen në rregulloren që miraton Këshilli i Ministrave, në zbatim të nenit 15, të këtij </w:t>
      </w:r>
      <w:r w:rsidR="006D047F" w:rsidRPr="00991BFE">
        <w:rPr>
          <w:rFonts w:ascii="Times New Roman" w:hAnsi="Times New Roman" w:cs="Times New Roman"/>
          <w:sz w:val="24"/>
          <w:szCs w:val="24"/>
          <w:lang w:val="sq-AL"/>
        </w:rPr>
        <w:t>projektligji.</w:t>
      </w:r>
    </w:p>
    <w:p w14:paraId="5AE9700D" w14:textId="29D9C21E" w:rsidR="005130C0" w:rsidRPr="00991BFE" w:rsidRDefault="005130C0" w:rsidP="00041D8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1</w:t>
      </w:r>
      <w:r w:rsidR="009A524C" w:rsidRPr="00991BFE">
        <w:rPr>
          <w:rFonts w:ascii="Times New Roman" w:hAnsi="Times New Roman" w:cs="Times New Roman"/>
          <w:b/>
          <w:sz w:val="24"/>
          <w:szCs w:val="24"/>
          <w:lang w:val="sq-AL"/>
        </w:rPr>
        <w:t>7</w:t>
      </w:r>
      <w:r w:rsidRPr="00991BFE">
        <w:rPr>
          <w:rFonts w:ascii="Times New Roman" w:hAnsi="Times New Roman" w:cs="Times New Roman"/>
          <w:sz w:val="24"/>
          <w:szCs w:val="24"/>
          <w:lang w:val="sq-AL"/>
        </w:rPr>
        <w:t>, përcakton autoritet</w:t>
      </w:r>
      <w:r w:rsidR="009A524C" w:rsidRPr="00991BFE">
        <w:rPr>
          <w:rFonts w:ascii="Times New Roman" w:hAnsi="Times New Roman" w:cs="Times New Roman"/>
          <w:sz w:val="24"/>
          <w:szCs w:val="24"/>
          <w:lang w:val="sq-AL"/>
        </w:rPr>
        <w:t>in</w:t>
      </w:r>
      <w:r w:rsidRPr="00991BFE">
        <w:rPr>
          <w:rFonts w:ascii="Times New Roman" w:hAnsi="Times New Roman" w:cs="Times New Roman"/>
          <w:sz w:val="24"/>
          <w:szCs w:val="24"/>
          <w:lang w:val="sq-AL"/>
        </w:rPr>
        <w:t xml:space="preserve"> kompetent</w:t>
      </w:r>
      <w:r w:rsidR="009A524C"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për vlerësimin e pasurive t</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paluajtshme, n</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funksion t</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w:t>
      </w:r>
      <w:r w:rsidR="008C0FA4" w:rsidRPr="00991BFE">
        <w:rPr>
          <w:rFonts w:ascii="Times New Roman" w:hAnsi="Times New Roman" w:cs="Times New Roman"/>
          <w:sz w:val="24"/>
          <w:szCs w:val="24"/>
          <w:lang w:val="sq-AL"/>
        </w:rPr>
        <w:t>llogaritjes</w:t>
      </w:r>
      <w:r w:rsidRPr="00991BFE">
        <w:rPr>
          <w:rFonts w:ascii="Times New Roman" w:hAnsi="Times New Roman" w:cs="Times New Roman"/>
          <w:sz w:val="24"/>
          <w:szCs w:val="24"/>
          <w:lang w:val="sq-AL"/>
        </w:rPr>
        <w:t xml:space="preserve"> s</w:t>
      </w:r>
      <w:r w:rsidR="00225608" w:rsidRPr="00991BFE">
        <w:rPr>
          <w:rFonts w:ascii="Times New Roman" w:hAnsi="Times New Roman" w:cs="Times New Roman"/>
          <w:sz w:val="24"/>
          <w:szCs w:val="24"/>
          <w:lang w:val="sq-AL"/>
        </w:rPr>
        <w:t>ë</w:t>
      </w:r>
      <w:r w:rsidR="005D1638" w:rsidRPr="00991BFE">
        <w:rPr>
          <w:rFonts w:ascii="Times New Roman" w:hAnsi="Times New Roman" w:cs="Times New Roman"/>
          <w:sz w:val="24"/>
          <w:szCs w:val="24"/>
          <w:lang w:val="sq-AL"/>
        </w:rPr>
        <w:t xml:space="preserve"> taksës </w:t>
      </w:r>
      <w:r w:rsidR="00041D86" w:rsidRPr="00991BFE">
        <w:rPr>
          <w:rFonts w:ascii="Times New Roman" w:hAnsi="Times New Roman" w:cs="Times New Roman"/>
          <w:sz w:val="24"/>
          <w:szCs w:val="24"/>
          <w:lang w:val="sq-AL"/>
        </w:rPr>
        <w:t xml:space="preserve">mbi </w:t>
      </w:r>
      <w:r w:rsidR="005D1638" w:rsidRPr="00991BFE">
        <w:rPr>
          <w:rFonts w:ascii="Times New Roman" w:hAnsi="Times New Roman" w:cs="Times New Roman"/>
          <w:sz w:val="24"/>
          <w:szCs w:val="24"/>
          <w:lang w:val="sq-AL"/>
        </w:rPr>
        <w:t>pasuri</w:t>
      </w:r>
      <w:r w:rsidR="00041D86" w:rsidRPr="00991BFE">
        <w:rPr>
          <w:rFonts w:ascii="Times New Roman" w:hAnsi="Times New Roman" w:cs="Times New Roman"/>
          <w:sz w:val="24"/>
          <w:szCs w:val="24"/>
          <w:lang w:val="sq-AL"/>
        </w:rPr>
        <w:t>n</w:t>
      </w:r>
      <w:r w:rsidR="005D1638" w:rsidRPr="00991BFE">
        <w:rPr>
          <w:rFonts w:ascii="Times New Roman" w:hAnsi="Times New Roman" w:cs="Times New Roman"/>
          <w:sz w:val="24"/>
          <w:szCs w:val="24"/>
          <w:lang w:val="sq-AL"/>
        </w:rPr>
        <w:t>ë</w:t>
      </w:r>
      <w:r w:rsidR="00041D86" w:rsidRPr="00991BFE">
        <w:rPr>
          <w:rFonts w:ascii="Times New Roman" w:hAnsi="Times New Roman" w:cs="Times New Roman"/>
          <w:sz w:val="24"/>
          <w:szCs w:val="24"/>
          <w:lang w:val="sq-AL"/>
        </w:rPr>
        <w:t xml:space="preserve"> e paluajtshme</w:t>
      </w:r>
      <w:r w:rsidRPr="00991BFE">
        <w:rPr>
          <w:rFonts w:ascii="Times New Roman" w:hAnsi="Times New Roman" w:cs="Times New Roman"/>
          <w:sz w:val="24"/>
          <w:szCs w:val="24"/>
          <w:lang w:val="sq-AL"/>
        </w:rPr>
        <w:t>.</w:t>
      </w:r>
      <w:r w:rsidR="009A524C" w:rsidRPr="00991BFE">
        <w:rPr>
          <w:rFonts w:ascii="Times New Roman" w:hAnsi="Times New Roman" w:cs="Times New Roman"/>
          <w:sz w:val="24"/>
          <w:szCs w:val="24"/>
          <w:lang w:val="sq-AL"/>
        </w:rPr>
        <w:t xml:space="preserve"> M</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 xml:space="preserve"> konkretisht, n</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 xml:space="preserve"> nen parashikohet se Agjencia Shtetërore e Kadastrës përgatit, në përputhje me legjislacionin në fuqi, hartat e vlerës që përmbajnë zonat e vlerës dhe çmimet e referencës për pasuritë e paluajtshme të llojit “tokë” dhe </w:t>
      </w:r>
      <w:r w:rsidR="009A524C" w:rsidRPr="00991BFE">
        <w:rPr>
          <w:rFonts w:ascii="Times New Roman" w:hAnsi="Times New Roman" w:cs="Times New Roman"/>
          <w:sz w:val="24"/>
          <w:szCs w:val="24"/>
          <w:lang w:val="sq-AL"/>
        </w:rPr>
        <w:lastRenderedPageBreak/>
        <w:t>“ndërtesë”. Agjencia Shtetërore e Kadastrës i dërgon Drejtorisë së Përgjithshme të Taksës së Pasurisë hartat e vlerës, brenda 10 (dhjetë) ditëve kalendarike nga dita e miratimit të tyre. Gjithashtu, ky nen parashikon se Agjencia Shtetërore e Kadastrës mund të kontraktojë vlerësues privatë të licencuar të pasurive të paluajtshme, për të asistuar në procesin e vlerësimit në masë të  pasurive të paluajtshme, në funksion të përcaktimit të zonave të vlerës dhe çmimeve të referencës. Vlerësuesit privatë të pasurive të paluajtshme kontraktohen, në përputhje me legjislacionin në fuqi mbi procedurat e prokurimit publik.</w:t>
      </w:r>
    </w:p>
    <w:p w14:paraId="1AE329D7" w14:textId="4E11DA43" w:rsidR="009A524C" w:rsidRPr="00991BFE" w:rsidRDefault="009A524C" w:rsidP="00041D8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Nd</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rkoh</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nen </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parashikuar se Bashkitë përcaktojnë vlerat e vlerësuara të pasurive të paluajtshme që i nënshtrohen taksimit, në përputhje me metodologjinë për përcaktimin e vlerave të vlerësuara të pasurive të paluajtshme.</w:t>
      </w:r>
    </w:p>
    <w:p w14:paraId="6E648085" w14:textId="3B8661F0" w:rsidR="009A524C" w:rsidRPr="00991BFE" w:rsidRDefault="009A524C" w:rsidP="00041D8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kuad</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nen </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parashikuar se Këshilli i Ministrave do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miratoj</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metodologjinë për përcaktimin e vlerave të vlerësuara të pasurive të paluajtshme. Metodologjia përcakton rregullat, procedurat dhe faktorët e vlerave që përdoren për përcaktimin e vlerave të vlerësuara të pasurive të paluajtshme.</w:t>
      </w:r>
    </w:p>
    <w:p w14:paraId="299D6CD6" w14:textId="3BF43B69" w:rsidR="009A524C" w:rsidRPr="00991BFE" w:rsidRDefault="00216835" w:rsidP="0016653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w:t>
      </w:r>
      <w:r w:rsidR="009A524C" w:rsidRPr="00991BFE">
        <w:rPr>
          <w:rFonts w:ascii="Times New Roman" w:hAnsi="Times New Roman" w:cs="Times New Roman"/>
          <w:b/>
          <w:sz w:val="24"/>
          <w:szCs w:val="24"/>
          <w:lang w:val="sq-AL"/>
        </w:rPr>
        <w:t>i</w:t>
      </w:r>
      <w:r w:rsidRPr="00991BFE">
        <w:rPr>
          <w:rFonts w:ascii="Times New Roman" w:hAnsi="Times New Roman" w:cs="Times New Roman"/>
          <w:b/>
          <w:sz w:val="24"/>
          <w:szCs w:val="24"/>
          <w:lang w:val="sq-AL"/>
        </w:rPr>
        <w:t xml:space="preserve"> 1</w:t>
      </w:r>
      <w:r w:rsidR="009A524C" w:rsidRPr="00991BFE">
        <w:rPr>
          <w:rFonts w:ascii="Times New Roman" w:hAnsi="Times New Roman" w:cs="Times New Roman"/>
          <w:b/>
          <w:sz w:val="24"/>
          <w:szCs w:val="24"/>
          <w:lang w:val="sq-AL"/>
        </w:rPr>
        <w:t xml:space="preserve">8 </w:t>
      </w:r>
      <w:r w:rsidR="009A524C" w:rsidRPr="00991BFE">
        <w:rPr>
          <w:rFonts w:ascii="Times New Roman" w:hAnsi="Times New Roman" w:cs="Times New Roman"/>
          <w:sz w:val="24"/>
          <w:szCs w:val="24"/>
          <w:lang w:val="sq-AL"/>
        </w:rPr>
        <w:t>p</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rcakton rregulla lidhur me llogaritjen e taks</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s mbi pasurinë e paluajtshme dhe njoftimin e saj. M</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 xml:space="preserve"> konkretisht, n</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009A524C" w:rsidRPr="00991BFE">
        <w:rPr>
          <w:rFonts w:ascii="Times New Roman" w:hAnsi="Times New Roman" w:cs="Times New Roman"/>
          <w:sz w:val="24"/>
          <w:szCs w:val="24"/>
          <w:lang w:val="sq-AL"/>
        </w:rPr>
        <w:t xml:space="preserve"> nen parashikohet:</w:t>
      </w:r>
    </w:p>
    <w:p w14:paraId="7A74B628" w14:textId="3F6FDAD8" w:rsidR="009A524C" w:rsidRPr="00991BFE" w:rsidRDefault="009A524C" w:rsidP="00166536">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afati dhe m</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nyra e  llogaritjes s</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taks</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 mbi pasurin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e paluajtshme nga bashkia. </w:t>
      </w:r>
    </w:p>
    <w:p w14:paraId="30488DF1" w14:textId="099DD9CD" w:rsidR="009A524C" w:rsidRPr="00991BFE" w:rsidRDefault="009A524C" w:rsidP="00166536">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afati i gjenerimit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njoftimeve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vlerësimit të taksës mbi pasurinë e paluajtshme.</w:t>
      </w:r>
    </w:p>
    <w:p w14:paraId="3844FDDD" w14:textId="60706BCF" w:rsidR="009A524C" w:rsidRPr="00991BFE" w:rsidRDefault="009A524C" w:rsidP="00166536">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informacioni q</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rmban njoftimi i vlerësimit të taksës mbi pasurinë e paluajtshme.</w:t>
      </w:r>
    </w:p>
    <w:p w14:paraId="15AF0AF1" w14:textId="004100F9" w:rsidR="009A524C" w:rsidRPr="00991BFE" w:rsidRDefault="009A524C" w:rsidP="00166536">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afati i d</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rgimit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njoftimeve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vlerësimit të taksës mbi pasurinë e paluajtshme. </w:t>
      </w:r>
    </w:p>
    <w:p w14:paraId="4209F412" w14:textId="59C6EE8B" w:rsidR="009A524C" w:rsidRPr="00991BFE" w:rsidRDefault="009A524C" w:rsidP="00166536">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afati dhe m</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nyr</w:t>
      </w:r>
      <w:r w:rsidR="00925889">
        <w:rPr>
          <w:rFonts w:ascii="Times New Roman" w:hAnsi="Times New Roman" w:cs="Times New Roman"/>
          <w:sz w:val="24"/>
          <w:szCs w:val="24"/>
          <w:lang w:val="sq-AL"/>
        </w:rPr>
        <w:t>a</w:t>
      </w:r>
      <w:r w:rsidRPr="00991BFE">
        <w:rPr>
          <w:rFonts w:ascii="Times New Roman" w:hAnsi="Times New Roman" w:cs="Times New Roman"/>
          <w:sz w:val="24"/>
          <w:szCs w:val="24"/>
          <w:lang w:val="sq-AL"/>
        </w:rPr>
        <w:t xml:space="preserve"> e shpalljes </w:t>
      </w:r>
      <w:r w:rsidR="00925889">
        <w:rPr>
          <w:rFonts w:ascii="Times New Roman" w:hAnsi="Times New Roman" w:cs="Times New Roman"/>
          <w:sz w:val="24"/>
          <w:szCs w:val="24"/>
          <w:lang w:val="sq-AL"/>
        </w:rPr>
        <w:t xml:space="preserve">dhe </w:t>
      </w:r>
      <w:r w:rsidR="00925889" w:rsidRPr="00925889">
        <w:rPr>
          <w:rFonts w:ascii="Times New Roman" w:hAnsi="Times New Roman" w:cs="Times New Roman"/>
          <w:sz w:val="24"/>
          <w:szCs w:val="24"/>
          <w:lang w:val="sq-AL"/>
        </w:rPr>
        <w:t xml:space="preserve">publikimit të </w:t>
      </w:r>
      <w:r w:rsidRPr="00991BFE">
        <w:rPr>
          <w:rFonts w:ascii="Times New Roman" w:hAnsi="Times New Roman" w:cs="Times New Roman"/>
          <w:sz w:val="24"/>
          <w:szCs w:val="24"/>
          <w:lang w:val="sq-AL"/>
        </w:rPr>
        <w:t>lajm</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rimit </w:t>
      </w:r>
      <w:r w:rsidR="00166536" w:rsidRPr="00991BFE">
        <w:rPr>
          <w:rFonts w:ascii="Times New Roman" w:hAnsi="Times New Roman" w:cs="Times New Roman"/>
          <w:sz w:val="24"/>
          <w:szCs w:val="24"/>
          <w:lang w:val="sq-AL"/>
        </w:rPr>
        <w:t>informues për datën e gjenerimit të njoftimeve të vlerësimit të taksës mbi pasurinë e paluajtshme dhe vendin se ku mund të shkarkohen apo të tërhiqen ato.</w:t>
      </w:r>
    </w:p>
    <w:p w14:paraId="6398A2AC" w14:textId="03704691" w:rsidR="00166536" w:rsidRPr="00991BFE" w:rsidRDefault="00166536" w:rsidP="0016653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Gjithashtu,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nen parashikohet se modeli tip i njoftimit të vlerësimit të taksës mbi pasurinë e paluajtshme, miratohet nga Drejtoria e Përgjithshme e Taksës së Pasurisë, pas konsultimit me Bashkitë.</w:t>
      </w:r>
    </w:p>
    <w:p w14:paraId="0C3EB367" w14:textId="6D29084B" w:rsidR="00166536" w:rsidRPr="00991BFE" w:rsidRDefault="00166536" w:rsidP="0016653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 xml:space="preserve">Neni 19 </w:t>
      </w:r>
      <w:r w:rsidRPr="00991BFE">
        <w:rPr>
          <w:rFonts w:ascii="Times New Roman" w:hAnsi="Times New Roman" w:cs="Times New Roman"/>
          <w:sz w:val="24"/>
          <w:szCs w:val="24"/>
          <w:lang w:val="sq-AL"/>
        </w:rPr>
        <w:t>p</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rcakton afatet dhe m</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nyr</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 e pagesave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detyrimeve tatimore. M</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w:t>
      </w:r>
      <w:r w:rsidR="006D047F" w:rsidRPr="00991BFE">
        <w:rPr>
          <w:rFonts w:ascii="Times New Roman" w:hAnsi="Times New Roman" w:cs="Times New Roman"/>
          <w:sz w:val="24"/>
          <w:szCs w:val="24"/>
          <w:lang w:val="sq-AL"/>
        </w:rPr>
        <w:t>konkretisht</w:t>
      </w:r>
      <w:r w:rsidRPr="00991BFE">
        <w:rPr>
          <w:rFonts w:ascii="Times New Roman" w:hAnsi="Times New Roman" w:cs="Times New Roman"/>
          <w:sz w:val="24"/>
          <w:szCs w:val="24"/>
          <w:lang w:val="sq-AL"/>
        </w:rPr>
        <w:t>,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nen parashikohet se taksa mbi pasurinë e paluajtshme dhe gjoba, nëse ka të tillë, paguhet në dy këste të barabarta, deri më 30 qershor dhe 30 shtator të vitit tatimor. Megjithat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taksapaguesi mund të paguajë, në çdo kohë përpara afatit të pagesës së këstit të parë, shumën totale të taksës dhe të gjobës, nëse ka të tillë.</w:t>
      </w:r>
    </w:p>
    <w:p w14:paraId="174E84A0" w14:textId="38656915" w:rsidR="00166536" w:rsidRPr="00991BFE" w:rsidRDefault="00166536" w:rsidP="0016653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Gjithashtu,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nen </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parashikuar </w:t>
      </w:r>
      <w:r w:rsidR="006D047F" w:rsidRPr="00991BFE">
        <w:rPr>
          <w:rFonts w:ascii="Times New Roman" w:hAnsi="Times New Roman" w:cs="Times New Roman"/>
          <w:sz w:val="24"/>
          <w:szCs w:val="24"/>
          <w:lang w:val="sq-AL"/>
        </w:rPr>
        <w:t>edhe</w:t>
      </w:r>
      <w:r w:rsidRPr="00991BFE">
        <w:rPr>
          <w:rFonts w:ascii="Times New Roman" w:hAnsi="Times New Roman" w:cs="Times New Roman"/>
          <w:sz w:val="24"/>
          <w:szCs w:val="24"/>
          <w:lang w:val="sq-AL"/>
        </w:rPr>
        <w:t xml:space="preserve"> rradha e shp</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rndarjes s</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pagesave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bëra për shlyerjen e detyrimeve tatimore</w:t>
      </w:r>
    </w:p>
    <w:p w14:paraId="0929B451" w14:textId="6CEAAF7F" w:rsidR="007D01EC" w:rsidRPr="00991BFE" w:rsidRDefault="007D4911"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2</w:t>
      </w:r>
      <w:r w:rsidR="00166536" w:rsidRPr="00991BFE">
        <w:rPr>
          <w:rFonts w:ascii="Times New Roman" w:hAnsi="Times New Roman" w:cs="Times New Roman"/>
          <w:b/>
          <w:sz w:val="24"/>
          <w:szCs w:val="24"/>
          <w:lang w:val="sq-AL"/>
        </w:rPr>
        <w:t>0</w:t>
      </w:r>
      <w:r w:rsidR="00A21DD8" w:rsidRPr="00991BFE">
        <w:rPr>
          <w:rFonts w:ascii="Times New Roman" w:hAnsi="Times New Roman" w:cs="Times New Roman"/>
          <w:sz w:val="24"/>
          <w:szCs w:val="24"/>
          <w:lang w:val="sq-AL"/>
        </w:rPr>
        <w:t>,</w:t>
      </w:r>
      <w:r w:rsidR="00156E9B" w:rsidRPr="00991BFE">
        <w:rPr>
          <w:rFonts w:ascii="Times New Roman" w:hAnsi="Times New Roman" w:cs="Times New Roman"/>
          <w:sz w:val="24"/>
          <w:szCs w:val="24"/>
          <w:lang w:val="sq-AL"/>
        </w:rPr>
        <w:t xml:space="preserve"> </w:t>
      </w:r>
      <w:r w:rsidR="004A31F2"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4A31F2" w:rsidRPr="00991BFE">
        <w:rPr>
          <w:rFonts w:ascii="Times New Roman" w:hAnsi="Times New Roman" w:cs="Times New Roman"/>
          <w:sz w:val="24"/>
          <w:szCs w:val="24"/>
          <w:lang w:val="sq-AL"/>
        </w:rPr>
        <w:t xml:space="preserve">rcakton </w:t>
      </w:r>
      <w:r w:rsidR="00996878" w:rsidRPr="00991BFE">
        <w:rPr>
          <w:rFonts w:ascii="Times New Roman" w:hAnsi="Times New Roman" w:cs="Times New Roman"/>
          <w:sz w:val="24"/>
          <w:szCs w:val="24"/>
          <w:lang w:val="sq-AL"/>
        </w:rPr>
        <w:t>se për taksat papaguara</w:t>
      </w:r>
      <w:r w:rsidR="00F84729" w:rsidRPr="00991BFE">
        <w:rPr>
          <w:rFonts w:ascii="Times New Roman" w:hAnsi="Times New Roman" w:cs="Times New Roman"/>
          <w:sz w:val="24"/>
          <w:szCs w:val="24"/>
          <w:lang w:val="sq-AL"/>
        </w:rPr>
        <w:t xml:space="preserve"> </w:t>
      </w:r>
      <w:r w:rsidR="00165870" w:rsidRPr="00991BFE">
        <w:rPr>
          <w:rFonts w:ascii="Times New Roman" w:hAnsi="Times New Roman" w:cs="Times New Roman"/>
          <w:sz w:val="24"/>
          <w:szCs w:val="24"/>
          <w:lang w:val="sq-AL"/>
        </w:rPr>
        <w:t xml:space="preserve">aplikohet </w:t>
      </w:r>
      <w:r w:rsidR="00996878" w:rsidRPr="00991BFE">
        <w:rPr>
          <w:rFonts w:ascii="Times New Roman" w:hAnsi="Times New Roman" w:cs="Times New Roman"/>
          <w:sz w:val="24"/>
          <w:szCs w:val="24"/>
          <w:lang w:val="sq-AL"/>
        </w:rPr>
        <w:t>kamat</w:t>
      </w:r>
      <w:r w:rsidR="00956E4E" w:rsidRPr="00991BFE">
        <w:rPr>
          <w:rFonts w:ascii="Times New Roman" w:hAnsi="Times New Roman" w:cs="Times New Roman"/>
          <w:sz w:val="24"/>
          <w:szCs w:val="24"/>
          <w:lang w:val="sq-AL"/>
        </w:rPr>
        <w:t>ë</w:t>
      </w:r>
      <w:r w:rsidR="00996878" w:rsidRPr="00991BFE">
        <w:rPr>
          <w:rFonts w:ascii="Times New Roman" w:hAnsi="Times New Roman" w:cs="Times New Roman"/>
          <w:sz w:val="24"/>
          <w:szCs w:val="24"/>
          <w:lang w:val="sq-AL"/>
        </w:rPr>
        <w:t>vones</w:t>
      </w:r>
      <w:r w:rsidR="00956E4E" w:rsidRPr="00991BFE">
        <w:rPr>
          <w:rFonts w:ascii="Times New Roman" w:hAnsi="Times New Roman" w:cs="Times New Roman"/>
          <w:sz w:val="24"/>
          <w:szCs w:val="24"/>
          <w:lang w:val="sq-AL"/>
        </w:rPr>
        <w:t>ë</w:t>
      </w:r>
      <w:r w:rsidR="00996878" w:rsidRPr="00991BFE">
        <w:rPr>
          <w:rFonts w:ascii="Times New Roman" w:hAnsi="Times New Roman" w:cs="Times New Roman"/>
          <w:sz w:val="24"/>
          <w:szCs w:val="24"/>
          <w:lang w:val="sq-AL"/>
        </w:rPr>
        <w:t xml:space="preserve">, </w:t>
      </w:r>
      <w:r w:rsidR="00166536" w:rsidRPr="00991BFE">
        <w:rPr>
          <w:rFonts w:ascii="Times New Roman" w:hAnsi="Times New Roman" w:cs="Times New Roman"/>
          <w:sz w:val="24"/>
          <w:szCs w:val="24"/>
          <w:lang w:val="sq-AL"/>
        </w:rPr>
        <w:t>në një normë e cila është e barabartë me normën e vendosur sipas legjislacionit në fuqi për procedurat tatimore</w:t>
      </w:r>
      <w:r w:rsidR="00996878" w:rsidRPr="00991BFE">
        <w:rPr>
          <w:rFonts w:ascii="Times New Roman" w:hAnsi="Times New Roman" w:cs="Times New Roman"/>
          <w:sz w:val="24"/>
          <w:szCs w:val="24"/>
          <w:lang w:val="sq-AL"/>
        </w:rPr>
        <w:t>.</w:t>
      </w:r>
    </w:p>
    <w:p w14:paraId="1FF74E29" w14:textId="02A2C0B6" w:rsidR="00996878" w:rsidRPr="00991BFE" w:rsidRDefault="00996878"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Kamatëvonesa do t</w:t>
      </w:r>
      <w:r w:rsidR="00956E4E"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llogaritet </w:t>
      </w:r>
      <w:r w:rsidR="00166536" w:rsidRPr="00991BFE">
        <w:rPr>
          <w:rFonts w:ascii="Times New Roman" w:hAnsi="Times New Roman" w:cs="Times New Roman"/>
          <w:sz w:val="24"/>
          <w:szCs w:val="24"/>
          <w:lang w:val="sq-AL"/>
        </w:rPr>
        <w:t>në baza ditore, nga dita që duhet të paguhet taksa, deri në ditën që ajo paguhet</w:t>
      </w:r>
      <w:r w:rsidRPr="00991BFE">
        <w:rPr>
          <w:rFonts w:ascii="Times New Roman" w:hAnsi="Times New Roman" w:cs="Times New Roman"/>
          <w:sz w:val="24"/>
          <w:szCs w:val="24"/>
          <w:lang w:val="sq-AL"/>
        </w:rPr>
        <w:t>.</w:t>
      </w:r>
    </w:p>
    <w:p w14:paraId="6D7E405A" w14:textId="4F1239F6" w:rsidR="00A21DD8" w:rsidRPr="00991BFE" w:rsidRDefault="007D4911"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2</w:t>
      </w:r>
      <w:r w:rsidR="00166536" w:rsidRPr="00991BFE">
        <w:rPr>
          <w:rFonts w:ascii="Times New Roman" w:hAnsi="Times New Roman" w:cs="Times New Roman"/>
          <w:b/>
          <w:sz w:val="24"/>
          <w:szCs w:val="24"/>
          <w:lang w:val="sq-AL"/>
        </w:rPr>
        <w:t>1</w:t>
      </w:r>
      <w:r w:rsidR="00A21DD8" w:rsidRPr="00991BFE">
        <w:rPr>
          <w:rFonts w:ascii="Times New Roman" w:hAnsi="Times New Roman" w:cs="Times New Roman"/>
          <w:b/>
          <w:sz w:val="24"/>
          <w:szCs w:val="24"/>
          <w:lang w:val="sq-AL"/>
        </w:rPr>
        <w:t>,</w:t>
      </w:r>
      <w:r w:rsidR="00A21DD8" w:rsidRPr="00991BFE">
        <w:rPr>
          <w:rFonts w:ascii="Times New Roman" w:hAnsi="Times New Roman" w:cs="Times New Roman"/>
          <w:sz w:val="24"/>
          <w:szCs w:val="24"/>
          <w:lang w:val="sq-AL"/>
        </w:rPr>
        <w:t xml:space="preserve"> </w:t>
      </w:r>
      <w:r w:rsidR="004A31F2"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4A31F2" w:rsidRPr="00991BFE">
        <w:rPr>
          <w:rFonts w:ascii="Times New Roman" w:hAnsi="Times New Roman" w:cs="Times New Roman"/>
          <w:sz w:val="24"/>
          <w:szCs w:val="24"/>
          <w:lang w:val="sq-AL"/>
        </w:rPr>
        <w:t xml:space="preserve">rcakton </w:t>
      </w:r>
      <w:r w:rsidR="003A3065" w:rsidRPr="00991BFE">
        <w:rPr>
          <w:rFonts w:ascii="Times New Roman" w:hAnsi="Times New Roman" w:cs="Times New Roman"/>
          <w:sz w:val="24"/>
          <w:szCs w:val="24"/>
          <w:lang w:val="sq-AL"/>
        </w:rPr>
        <w:t xml:space="preserve">përdorimin e </w:t>
      </w:r>
      <w:r w:rsidR="007058A6" w:rsidRPr="00991BFE">
        <w:rPr>
          <w:rFonts w:ascii="Times New Roman" w:hAnsi="Times New Roman" w:cs="Times New Roman"/>
          <w:sz w:val="24"/>
          <w:szCs w:val="24"/>
          <w:lang w:val="sq-AL"/>
        </w:rPr>
        <w:t>masave</w:t>
      </w:r>
      <w:r w:rsidR="001B4077" w:rsidRPr="00991BFE">
        <w:rPr>
          <w:rFonts w:ascii="Times New Roman" w:hAnsi="Times New Roman" w:cs="Times New Roman"/>
          <w:sz w:val="24"/>
          <w:szCs w:val="24"/>
          <w:lang w:val="sq-AL"/>
        </w:rPr>
        <w:t xml:space="preserve"> pasive </w:t>
      </w:r>
      <w:r w:rsidR="00A21DD8" w:rsidRPr="00991BFE">
        <w:rPr>
          <w:rFonts w:ascii="Times New Roman" w:hAnsi="Times New Roman" w:cs="Times New Roman"/>
          <w:sz w:val="24"/>
          <w:szCs w:val="24"/>
          <w:lang w:val="sq-AL"/>
        </w:rPr>
        <w:t xml:space="preserve">për </w:t>
      </w:r>
      <w:r w:rsidR="00EE1D28" w:rsidRPr="00991BFE">
        <w:rPr>
          <w:rFonts w:ascii="Times New Roman" w:hAnsi="Times New Roman" w:cs="Times New Roman"/>
          <w:sz w:val="24"/>
          <w:szCs w:val="24"/>
          <w:lang w:val="sq-AL"/>
        </w:rPr>
        <w:t xml:space="preserve">të siguruar </w:t>
      </w:r>
      <w:r w:rsidR="00A21DD8" w:rsidRPr="00991BFE">
        <w:rPr>
          <w:rFonts w:ascii="Times New Roman" w:hAnsi="Times New Roman" w:cs="Times New Roman"/>
          <w:sz w:val="24"/>
          <w:szCs w:val="24"/>
          <w:lang w:val="sq-AL"/>
        </w:rPr>
        <w:t xml:space="preserve">pagimin në kohë të detyrimeve tatimore, </w:t>
      </w:r>
      <w:r w:rsidR="00304113" w:rsidRPr="00991BFE">
        <w:rPr>
          <w:rFonts w:ascii="Times New Roman" w:hAnsi="Times New Roman" w:cs="Times New Roman"/>
          <w:sz w:val="24"/>
          <w:szCs w:val="24"/>
          <w:lang w:val="sq-AL"/>
        </w:rPr>
        <w:t>siç është</w:t>
      </w:r>
      <w:r w:rsidR="00A21DD8" w:rsidRPr="00991BFE">
        <w:rPr>
          <w:rFonts w:ascii="Times New Roman" w:hAnsi="Times New Roman" w:cs="Times New Roman"/>
          <w:sz w:val="24"/>
          <w:szCs w:val="24"/>
          <w:lang w:val="sq-AL"/>
        </w:rPr>
        <w:t xml:space="preserve"> pezullimi i shërbimeve</w:t>
      </w:r>
      <w:r w:rsidR="00166536" w:rsidRPr="00991BFE">
        <w:rPr>
          <w:rFonts w:ascii="Times New Roman" w:hAnsi="Times New Roman" w:cs="Times New Roman"/>
          <w:sz w:val="24"/>
          <w:szCs w:val="24"/>
          <w:lang w:val="sq-AL"/>
        </w:rPr>
        <w:t xml:space="preserve"> t</w:t>
      </w:r>
      <w:r w:rsidR="00BD351D" w:rsidRPr="00991BFE">
        <w:rPr>
          <w:rFonts w:ascii="Times New Roman" w:hAnsi="Times New Roman" w:cs="Times New Roman"/>
          <w:sz w:val="24"/>
          <w:szCs w:val="24"/>
          <w:lang w:val="sq-AL"/>
        </w:rPr>
        <w:t>ë</w:t>
      </w:r>
      <w:r w:rsidR="00166536" w:rsidRPr="00991BFE">
        <w:rPr>
          <w:rFonts w:ascii="Times New Roman" w:hAnsi="Times New Roman" w:cs="Times New Roman"/>
          <w:sz w:val="24"/>
          <w:szCs w:val="24"/>
          <w:lang w:val="sq-AL"/>
        </w:rPr>
        <w:t xml:space="preserve"> caktuara</w:t>
      </w:r>
      <w:r w:rsidR="00A21DD8" w:rsidRPr="00991BFE">
        <w:rPr>
          <w:rFonts w:ascii="Times New Roman" w:hAnsi="Times New Roman" w:cs="Times New Roman"/>
          <w:sz w:val="24"/>
          <w:szCs w:val="24"/>
          <w:lang w:val="sq-AL"/>
        </w:rPr>
        <w:t xml:space="preserve"> </w:t>
      </w:r>
      <w:r w:rsidR="00547E57" w:rsidRPr="00991BFE">
        <w:rPr>
          <w:rFonts w:ascii="Times New Roman" w:hAnsi="Times New Roman" w:cs="Times New Roman"/>
          <w:sz w:val="24"/>
          <w:szCs w:val="24"/>
          <w:lang w:val="sq-AL"/>
        </w:rPr>
        <w:t xml:space="preserve">të ofruara </w:t>
      </w:r>
      <w:r w:rsidR="00A21DD8" w:rsidRPr="00991BFE">
        <w:rPr>
          <w:rFonts w:ascii="Times New Roman" w:hAnsi="Times New Roman" w:cs="Times New Roman"/>
          <w:sz w:val="24"/>
          <w:szCs w:val="24"/>
          <w:lang w:val="sq-AL"/>
        </w:rPr>
        <w:t>nga</w:t>
      </w:r>
      <w:r w:rsidR="00547E57" w:rsidRPr="00991BFE">
        <w:rPr>
          <w:rFonts w:ascii="Times New Roman" w:hAnsi="Times New Roman" w:cs="Times New Roman"/>
          <w:sz w:val="24"/>
          <w:szCs w:val="24"/>
          <w:lang w:val="sq-AL"/>
        </w:rPr>
        <w:t xml:space="preserve"> bashkitë</w:t>
      </w:r>
      <w:r w:rsidR="00653A58">
        <w:rPr>
          <w:rFonts w:ascii="Times New Roman" w:hAnsi="Times New Roman" w:cs="Times New Roman"/>
          <w:sz w:val="24"/>
          <w:szCs w:val="24"/>
          <w:lang w:val="sq-AL"/>
        </w:rPr>
        <w:t xml:space="preserve"> apo i atyre të</w:t>
      </w:r>
      <w:r w:rsidR="00653A58" w:rsidRPr="00991BFE">
        <w:rPr>
          <w:rFonts w:ascii="Times New Roman" w:hAnsi="Times New Roman" w:cs="Times New Roman"/>
          <w:sz w:val="24"/>
          <w:szCs w:val="24"/>
          <w:lang w:val="sq-AL"/>
        </w:rPr>
        <w:t xml:space="preserve"> ofruara </w:t>
      </w:r>
      <w:r w:rsidR="00653A58">
        <w:rPr>
          <w:rFonts w:ascii="Times New Roman" w:hAnsi="Times New Roman" w:cs="Times New Roman"/>
          <w:sz w:val="24"/>
          <w:szCs w:val="24"/>
          <w:lang w:val="sq-AL"/>
        </w:rPr>
        <w:t>nga institucionet qendrore</w:t>
      </w:r>
      <w:r w:rsidR="004A31F2" w:rsidRPr="00991BFE">
        <w:rPr>
          <w:lang w:val="sq-AL"/>
        </w:rPr>
        <w:t xml:space="preserve"> </w:t>
      </w:r>
      <w:r w:rsidR="004A31F2" w:rsidRPr="00991BFE">
        <w:rPr>
          <w:rFonts w:ascii="Times New Roman" w:hAnsi="Times New Roman" w:cs="Times New Roman"/>
          <w:sz w:val="24"/>
          <w:szCs w:val="24"/>
          <w:lang w:val="sq-AL"/>
        </w:rPr>
        <w:t>deri në pagesën e plotë të detyrimeve të papaguara tatimore</w:t>
      </w:r>
      <w:r w:rsidR="00653A58">
        <w:rPr>
          <w:rFonts w:ascii="Times New Roman" w:hAnsi="Times New Roman" w:cs="Times New Roman"/>
          <w:sz w:val="24"/>
          <w:szCs w:val="24"/>
          <w:lang w:val="sq-AL"/>
        </w:rPr>
        <w:t>.</w:t>
      </w:r>
      <w:r w:rsidR="00304113" w:rsidRPr="00991BFE">
        <w:rPr>
          <w:rFonts w:ascii="Times New Roman" w:hAnsi="Times New Roman" w:cs="Times New Roman"/>
          <w:sz w:val="24"/>
          <w:szCs w:val="24"/>
          <w:lang w:val="sq-AL"/>
        </w:rPr>
        <w:t xml:space="preserve"> </w:t>
      </w:r>
      <w:r w:rsidR="00653A58">
        <w:rPr>
          <w:rFonts w:ascii="Times New Roman" w:hAnsi="Times New Roman" w:cs="Times New Roman"/>
          <w:sz w:val="24"/>
          <w:szCs w:val="24"/>
          <w:lang w:val="sq-AL"/>
        </w:rPr>
        <w:t xml:space="preserve">Këto masa </w:t>
      </w:r>
      <w:r w:rsidR="00304113" w:rsidRPr="00991BFE">
        <w:rPr>
          <w:rFonts w:ascii="Times New Roman" w:hAnsi="Times New Roman" w:cs="Times New Roman"/>
          <w:sz w:val="24"/>
          <w:szCs w:val="24"/>
          <w:lang w:val="sq-AL"/>
        </w:rPr>
        <w:t xml:space="preserve">së bashku me gjobat </w:t>
      </w:r>
      <w:r w:rsidR="00576F66" w:rsidRPr="00991BFE">
        <w:rPr>
          <w:rFonts w:ascii="Times New Roman" w:hAnsi="Times New Roman" w:cs="Times New Roman"/>
          <w:sz w:val="24"/>
          <w:szCs w:val="24"/>
          <w:lang w:val="sq-AL"/>
        </w:rPr>
        <w:t>për</w:t>
      </w:r>
      <w:r w:rsidR="00304113" w:rsidRPr="00991BFE">
        <w:rPr>
          <w:rFonts w:ascii="Times New Roman" w:hAnsi="Times New Roman" w:cs="Times New Roman"/>
          <w:sz w:val="24"/>
          <w:szCs w:val="24"/>
          <w:lang w:val="sq-AL"/>
        </w:rPr>
        <w:t xml:space="preserve"> </w:t>
      </w:r>
      <w:r w:rsidR="00576F66" w:rsidRPr="00991BFE">
        <w:rPr>
          <w:rFonts w:ascii="Times New Roman" w:hAnsi="Times New Roman" w:cs="Times New Roman"/>
          <w:sz w:val="24"/>
          <w:szCs w:val="24"/>
          <w:lang w:val="sq-AL"/>
        </w:rPr>
        <w:t>vonesën</w:t>
      </w:r>
      <w:r w:rsidR="00304113" w:rsidRPr="00991BFE">
        <w:rPr>
          <w:rFonts w:ascii="Times New Roman" w:hAnsi="Times New Roman" w:cs="Times New Roman"/>
          <w:sz w:val="24"/>
          <w:szCs w:val="24"/>
          <w:lang w:val="sq-AL"/>
        </w:rPr>
        <w:t xml:space="preserve"> e pagimit </w:t>
      </w:r>
      <w:r w:rsidR="00576F66" w:rsidRPr="00991BFE">
        <w:rPr>
          <w:rFonts w:ascii="Times New Roman" w:hAnsi="Times New Roman" w:cs="Times New Roman"/>
          <w:sz w:val="24"/>
          <w:szCs w:val="24"/>
          <w:lang w:val="sq-AL"/>
        </w:rPr>
        <w:t>të</w:t>
      </w:r>
      <w:r w:rsidR="00304113" w:rsidRPr="00991BFE">
        <w:rPr>
          <w:rFonts w:ascii="Times New Roman" w:hAnsi="Times New Roman" w:cs="Times New Roman"/>
          <w:sz w:val="24"/>
          <w:szCs w:val="24"/>
          <w:lang w:val="sq-AL"/>
        </w:rPr>
        <w:t xml:space="preserve"> detyrimeve </w:t>
      </w:r>
      <w:r w:rsidR="00576F66" w:rsidRPr="00991BFE">
        <w:rPr>
          <w:rFonts w:ascii="Times New Roman" w:hAnsi="Times New Roman" w:cs="Times New Roman"/>
          <w:sz w:val="24"/>
          <w:szCs w:val="24"/>
          <w:lang w:val="sq-AL"/>
        </w:rPr>
        <w:t>tatimore</w:t>
      </w:r>
      <w:r w:rsidR="00304113" w:rsidRPr="00991BFE">
        <w:rPr>
          <w:rFonts w:ascii="Times New Roman" w:hAnsi="Times New Roman" w:cs="Times New Roman"/>
          <w:sz w:val="24"/>
          <w:szCs w:val="24"/>
          <w:lang w:val="sq-AL"/>
        </w:rPr>
        <w:t>, konsiderohen</w:t>
      </w:r>
      <w:r w:rsidR="00A21DD8" w:rsidRPr="00991BFE">
        <w:rPr>
          <w:rFonts w:ascii="Times New Roman" w:hAnsi="Times New Roman" w:cs="Times New Roman"/>
          <w:sz w:val="24"/>
          <w:szCs w:val="24"/>
          <w:lang w:val="sq-AL"/>
        </w:rPr>
        <w:t xml:space="preserve"> nga shumë ekspertë të taksave, si masat më efektive, duke qenë se zbatohen lehtë e kanë pak kosto.</w:t>
      </w:r>
      <w:r w:rsidR="00021DAF" w:rsidRPr="00991BFE">
        <w:rPr>
          <w:rFonts w:ascii="Times New Roman" w:hAnsi="Times New Roman" w:cs="Times New Roman"/>
          <w:sz w:val="24"/>
          <w:szCs w:val="24"/>
          <w:lang w:val="sq-AL"/>
        </w:rPr>
        <w:t xml:space="preserve"> </w:t>
      </w:r>
    </w:p>
    <w:p w14:paraId="1F77A526" w14:textId="747B745B" w:rsidR="00A21DD8" w:rsidRPr="00991BFE" w:rsidRDefault="00166536"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Shërbimet që do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pezullohen nga Bashkia për zbatimin e kësaj pike, do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përcaktohen me vendim të Këshillit Bashkiak</w:t>
      </w:r>
      <w:r w:rsidR="00A21DD8" w:rsidRPr="00991BFE">
        <w:rPr>
          <w:rFonts w:ascii="Times New Roman" w:hAnsi="Times New Roman" w:cs="Times New Roman"/>
          <w:sz w:val="24"/>
          <w:szCs w:val="24"/>
          <w:lang w:val="sq-AL"/>
        </w:rPr>
        <w:t>.</w:t>
      </w:r>
    </w:p>
    <w:p w14:paraId="3798DFEA" w14:textId="3EFC3439" w:rsidR="00166536" w:rsidRPr="00991BFE" w:rsidRDefault="00146454" w:rsidP="0016653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G</w:t>
      </w:r>
      <w:r w:rsidR="00166536" w:rsidRPr="00991BFE">
        <w:rPr>
          <w:rFonts w:ascii="Times New Roman" w:hAnsi="Times New Roman" w:cs="Times New Roman"/>
          <w:sz w:val="24"/>
          <w:szCs w:val="24"/>
          <w:lang w:val="sq-AL"/>
        </w:rPr>
        <w:t>jithashtu, n</w:t>
      </w:r>
      <w:r w:rsidR="00BD351D" w:rsidRPr="00991BFE">
        <w:rPr>
          <w:rFonts w:ascii="Times New Roman" w:hAnsi="Times New Roman" w:cs="Times New Roman"/>
          <w:sz w:val="24"/>
          <w:szCs w:val="24"/>
          <w:lang w:val="sq-AL"/>
        </w:rPr>
        <w:t>ë</w:t>
      </w:r>
      <w:r w:rsidR="00166536"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00166536"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00166536" w:rsidRPr="00991BFE">
        <w:rPr>
          <w:rFonts w:ascii="Times New Roman" w:hAnsi="Times New Roman" w:cs="Times New Roman"/>
          <w:sz w:val="24"/>
          <w:szCs w:val="24"/>
          <w:lang w:val="sq-AL"/>
        </w:rPr>
        <w:t xml:space="preserve"> nen parashikohet se debitorit që nuk ka paguar plotësisht detyrimet e papaguara tatimore nuk i ofrohen shërbime nga institucionet qendrore si më poshtë: a) Agjencia Shtetërore e Kadastrës; b) Agjencia e Zhvillimit të Territorit; c) Qendra Kombëtare e Biznesit; ç) Drejtoria e Shërbimeve Publike të Transportit Rrugor. Shërbimet që do t</w:t>
      </w:r>
      <w:r w:rsidR="00BD351D" w:rsidRPr="00991BFE">
        <w:rPr>
          <w:rFonts w:ascii="Times New Roman" w:hAnsi="Times New Roman" w:cs="Times New Roman"/>
          <w:sz w:val="24"/>
          <w:szCs w:val="24"/>
          <w:lang w:val="sq-AL"/>
        </w:rPr>
        <w:t>ë</w:t>
      </w:r>
      <w:r w:rsidR="00166536" w:rsidRPr="00991BFE">
        <w:rPr>
          <w:rFonts w:ascii="Times New Roman" w:hAnsi="Times New Roman" w:cs="Times New Roman"/>
          <w:sz w:val="24"/>
          <w:szCs w:val="24"/>
          <w:lang w:val="sq-AL"/>
        </w:rPr>
        <w:t xml:space="preserve"> pezullohen do t</w:t>
      </w:r>
      <w:r w:rsidR="00BD351D" w:rsidRPr="00991BFE">
        <w:rPr>
          <w:rFonts w:ascii="Times New Roman" w:hAnsi="Times New Roman" w:cs="Times New Roman"/>
          <w:sz w:val="24"/>
          <w:szCs w:val="24"/>
          <w:lang w:val="sq-AL"/>
        </w:rPr>
        <w:t>ë</w:t>
      </w:r>
      <w:r w:rsidR="00166536" w:rsidRPr="00991BFE">
        <w:rPr>
          <w:rFonts w:ascii="Times New Roman" w:hAnsi="Times New Roman" w:cs="Times New Roman"/>
          <w:sz w:val="24"/>
          <w:szCs w:val="24"/>
          <w:lang w:val="sq-AL"/>
        </w:rPr>
        <w:t xml:space="preserve"> përcaktohen me vendim të Këshillit të Ministrave.</w:t>
      </w:r>
    </w:p>
    <w:p w14:paraId="0328CFB6" w14:textId="0F2B2B6D" w:rsidR="00166536" w:rsidRPr="00991BFE" w:rsidRDefault="00166536" w:rsidP="00166536">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Megjithat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nuk pezullohen, për zbatimin e këtij neni, shërbimet që kanë të bëjnë me dhënien e informacionit zyrtar, si dhe lëshimin e kopjeve të dokumenteve ose të vërtetimeve.</w:t>
      </w:r>
    </w:p>
    <w:p w14:paraId="141F0B22" w14:textId="17FD46E8" w:rsidR="00146454" w:rsidRPr="00991BFE" w:rsidRDefault="00146454" w:rsidP="00146454">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Gjithashtu,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nen </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sht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parashikuar se:</w:t>
      </w:r>
    </w:p>
    <w:p w14:paraId="32912F0B" w14:textId="77777777" w:rsidR="00146454" w:rsidRPr="00991BFE" w:rsidRDefault="00146454" w:rsidP="00146454">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Për të përfituar shërbimet, debitorët duhet të paraqesin pranë institucionit përkatës ose drejtorisë përkatëse në bashki, një vërtetim të lëshuar nga struktura përgjegjëse për taksën mbi pasurinë e paluajtshme në Bashki, që dëshmon shlyerjen e plotë të detyrimeve tatimore të papaguara. </w:t>
      </w:r>
    </w:p>
    <w:p w14:paraId="49074D58" w14:textId="06C67D2F" w:rsidR="00146454" w:rsidRPr="00991BFE" w:rsidRDefault="00146454" w:rsidP="00146454">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Nëse shërbimi i kërkuar lidhet me pasuri të paluajtshme të caktuara që debitori ka në pronësi, posedon, përdor ose po zhvillon, është i mjaftueshëm  vërtetimi që dëshmon shlyerjen e detyrimeve tatimore të papaguara vetëm për ato pasuri. Për të gjitha shërbimet e tjera që nuk lidhen me pasuri të caktuara, është e nevojshme paraqitja e një vërtetimi që dëshmon shlyerjen e të gjitha detyrimeve tatimore të papaguara që ka debitori.</w:t>
      </w:r>
    </w:p>
    <w:p w14:paraId="4C075E5F" w14:textId="564159DF" w:rsidR="00A21DD8" w:rsidRPr="00991BFE" w:rsidRDefault="004A31F2"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w:t>
      </w:r>
      <w:r w:rsidR="007D4911" w:rsidRPr="00991BFE">
        <w:rPr>
          <w:rFonts w:ascii="Times New Roman" w:hAnsi="Times New Roman" w:cs="Times New Roman"/>
          <w:b/>
          <w:sz w:val="24"/>
          <w:szCs w:val="24"/>
          <w:lang w:val="sq-AL"/>
        </w:rPr>
        <w:t xml:space="preserve"> 2</w:t>
      </w:r>
      <w:r w:rsidR="00146454" w:rsidRPr="00991BFE">
        <w:rPr>
          <w:rFonts w:ascii="Times New Roman" w:hAnsi="Times New Roman" w:cs="Times New Roman"/>
          <w:b/>
          <w:sz w:val="24"/>
          <w:szCs w:val="24"/>
          <w:lang w:val="sq-AL"/>
        </w:rPr>
        <w:t>2</w:t>
      </w:r>
      <w:r w:rsidR="00973D6A"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rcakton se </w:t>
      </w:r>
      <w:r w:rsidR="00146454" w:rsidRPr="00991BFE">
        <w:rPr>
          <w:rFonts w:ascii="Times New Roman" w:hAnsi="Times New Roman" w:cs="Times New Roman"/>
          <w:sz w:val="24"/>
          <w:szCs w:val="24"/>
          <w:lang w:val="sq-AL"/>
        </w:rPr>
        <w:t>Bashkia ka autoritetin dhe kompetencën për të mbledhur me forcë detyrimet e papaguara tatimore, në përputhje me legjislacionin në fuqi për procedurat tatimore</w:t>
      </w:r>
      <w:r w:rsidR="001A3FCD" w:rsidRPr="00991BFE">
        <w:rPr>
          <w:rFonts w:ascii="Times New Roman" w:hAnsi="Times New Roman" w:cs="Times New Roman"/>
          <w:sz w:val="24"/>
          <w:szCs w:val="24"/>
          <w:lang w:val="sq-AL"/>
        </w:rPr>
        <w:t>.</w:t>
      </w:r>
    </w:p>
    <w:p w14:paraId="46624D17" w14:textId="7C9F8117" w:rsidR="00146454" w:rsidRPr="00991BFE" w:rsidRDefault="007D4911"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Nenet 2</w:t>
      </w:r>
      <w:r w:rsidR="00146454" w:rsidRPr="00991BFE">
        <w:rPr>
          <w:rFonts w:ascii="Times New Roman" w:hAnsi="Times New Roman" w:cs="Times New Roman"/>
          <w:b/>
          <w:sz w:val="24"/>
          <w:szCs w:val="24"/>
          <w:lang w:val="sq-AL"/>
        </w:rPr>
        <w:t>3</w:t>
      </w:r>
      <w:r w:rsidRPr="00991BFE">
        <w:rPr>
          <w:rFonts w:ascii="Times New Roman" w:hAnsi="Times New Roman" w:cs="Times New Roman"/>
          <w:b/>
          <w:sz w:val="24"/>
          <w:szCs w:val="24"/>
          <w:lang w:val="sq-AL"/>
        </w:rPr>
        <w:t xml:space="preserve"> dhe 2</w:t>
      </w:r>
      <w:r w:rsidR="00146454" w:rsidRPr="00991BFE">
        <w:rPr>
          <w:rFonts w:ascii="Times New Roman" w:hAnsi="Times New Roman" w:cs="Times New Roman"/>
          <w:b/>
          <w:sz w:val="24"/>
          <w:szCs w:val="24"/>
          <w:lang w:val="sq-AL"/>
        </w:rPr>
        <w:t>4</w:t>
      </w:r>
      <w:r w:rsidR="000E6C61" w:rsidRPr="00991BFE">
        <w:rPr>
          <w:rFonts w:ascii="Times New Roman" w:hAnsi="Times New Roman" w:cs="Times New Roman"/>
          <w:b/>
          <w:sz w:val="24"/>
          <w:szCs w:val="24"/>
          <w:lang w:val="sq-AL"/>
        </w:rPr>
        <w:t>,</w:t>
      </w:r>
      <w:r w:rsidR="000E6C61" w:rsidRPr="00991BFE">
        <w:rPr>
          <w:rFonts w:ascii="Times New Roman" w:hAnsi="Times New Roman" w:cs="Times New Roman"/>
          <w:sz w:val="24"/>
          <w:szCs w:val="24"/>
          <w:lang w:val="sq-AL"/>
        </w:rPr>
        <w:t xml:space="preserve"> </w:t>
      </w:r>
      <w:r w:rsidR="00112EDC" w:rsidRPr="00991BFE">
        <w:rPr>
          <w:rFonts w:ascii="Times New Roman" w:hAnsi="Times New Roman" w:cs="Times New Roman"/>
          <w:sz w:val="24"/>
          <w:szCs w:val="24"/>
          <w:lang w:val="sq-AL"/>
        </w:rPr>
        <w:t>përcaktojn</w:t>
      </w:r>
      <w:r w:rsidR="00225608" w:rsidRPr="00991BFE">
        <w:rPr>
          <w:rFonts w:ascii="Times New Roman" w:hAnsi="Times New Roman" w:cs="Times New Roman"/>
          <w:sz w:val="24"/>
          <w:szCs w:val="24"/>
          <w:lang w:val="sq-AL"/>
        </w:rPr>
        <w:t>ë</w:t>
      </w:r>
      <w:r w:rsidR="00112EDC" w:rsidRPr="00991BFE">
        <w:rPr>
          <w:rFonts w:ascii="Times New Roman" w:hAnsi="Times New Roman" w:cs="Times New Roman"/>
          <w:sz w:val="24"/>
          <w:szCs w:val="24"/>
          <w:lang w:val="sq-AL"/>
        </w:rPr>
        <w:t xml:space="preserve"> </w:t>
      </w:r>
      <w:r w:rsidR="00146454" w:rsidRPr="00991BFE">
        <w:rPr>
          <w:rFonts w:ascii="Times New Roman" w:hAnsi="Times New Roman" w:cs="Times New Roman"/>
          <w:sz w:val="24"/>
          <w:szCs w:val="24"/>
          <w:lang w:val="sq-AL"/>
        </w:rPr>
        <w:t>mjetet ligjore n</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dispozicion t</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taksapaguesit n</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rast t</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mosdakord</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sis</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me njoftimin e vlerësimit të taksës mbi pasurinë e paluajtshme t</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gjeneruar dhe d</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rguar nga bashkia, si dhe n</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rastet e mosmarr</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veshjeve t</w:t>
      </w:r>
      <w:r w:rsidR="00BD351D" w:rsidRPr="00991BFE">
        <w:rPr>
          <w:rFonts w:ascii="Times New Roman" w:hAnsi="Times New Roman" w:cs="Times New Roman"/>
          <w:sz w:val="24"/>
          <w:szCs w:val="24"/>
          <w:lang w:val="sq-AL"/>
        </w:rPr>
        <w:t>ë</w:t>
      </w:r>
      <w:r w:rsidR="00146454" w:rsidRPr="00991BFE">
        <w:rPr>
          <w:rFonts w:ascii="Times New Roman" w:hAnsi="Times New Roman" w:cs="Times New Roman"/>
          <w:sz w:val="24"/>
          <w:szCs w:val="24"/>
          <w:lang w:val="sq-AL"/>
        </w:rPr>
        <w:t xml:space="preserve"> tjera nga debitori. </w:t>
      </w:r>
    </w:p>
    <w:p w14:paraId="43A84647" w14:textId="3ADB8FF1" w:rsidR="009D32BA" w:rsidRPr="00991BFE" w:rsidRDefault="007D4911"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2</w:t>
      </w:r>
      <w:r w:rsidR="00146454" w:rsidRPr="00991BFE">
        <w:rPr>
          <w:rFonts w:ascii="Times New Roman" w:hAnsi="Times New Roman" w:cs="Times New Roman"/>
          <w:b/>
          <w:sz w:val="24"/>
          <w:szCs w:val="24"/>
          <w:lang w:val="sq-AL"/>
        </w:rPr>
        <w:t>5</w:t>
      </w:r>
      <w:r w:rsidR="00112EDC" w:rsidRPr="00991BFE">
        <w:rPr>
          <w:rFonts w:ascii="Times New Roman" w:hAnsi="Times New Roman" w:cs="Times New Roman"/>
          <w:sz w:val="24"/>
          <w:szCs w:val="24"/>
          <w:lang w:val="sq-AL"/>
        </w:rPr>
        <w:t>, përcakton gjoba proporcionale që do të vendosen në rastet e</w:t>
      </w:r>
      <w:r w:rsidR="009D32BA" w:rsidRPr="00991BFE">
        <w:rPr>
          <w:rFonts w:ascii="Times New Roman" w:hAnsi="Times New Roman" w:cs="Times New Roman"/>
          <w:sz w:val="24"/>
          <w:szCs w:val="24"/>
          <w:lang w:val="sq-AL"/>
        </w:rPr>
        <w:t>:</w:t>
      </w:r>
    </w:p>
    <w:p w14:paraId="6D143253" w14:textId="53EBEFCC" w:rsidR="009D32BA" w:rsidRPr="00991BFE" w:rsidRDefault="009D32BA" w:rsidP="009D32BA">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pengimit t</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evidentimit n</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terren të pasurisë së paluajtshme.</w:t>
      </w:r>
    </w:p>
    <w:p w14:paraId="65290B8B" w14:textId="09466218" w:rsidR="009D32BA" w:rsidRPr="00991BFE" w:rsidRDefault="00304890" w:rsidP="009D32BA">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M</w:t>
      </w:r>
      <w:r w:rsidR="009D32BA" w:rsidRPr="00991BFE">
        <w:rPr>
          <w:rFonts w:ascii="Times New Roman" w:hAnsi="Times New Roman" w:cs="Times New Roman"/>
          <w:sz w:val="24"/>
          <w:szCs w:val="24"/>
          <w:lang w:val="sq-AL"/>
        </w:rPr>
        <w:t>ospages</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s</w:t>
      </w:r>
      <w:r>
        <w:rPr>
          <w:rFonts w:ascii="Times New Roman" w:hAnsi="Times New Roman" w:cs="Times New Roman"/>
          <w:sz w:val="24"/>
          <w:szCs w:val="24"/>
          <w:lang w:val="sq-AL"/>
        </w:rPr>
        <w:t xml:space="preserve"> brenda afateve</w:t>
      </w:r>
      <w:r w:rsidR="009D32BA" w:rsidRPr="00991BFE">
        <w:rPr>
          <w:rFonts w:ascii="Times New Roman" w:hAnsi="Times New Roman" w:cs="Times New Roman"/>
          <w:sz w:val="24"/>
          <w:szCs w:val="24"/>
          <w:lang w:val="sq-AL"/>
        </w:rPr>
        <w:t xml:space="preserve"> </w:t>
      </w:r>
      <w:r>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 xml:space="preserve"> taks</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 xml:space="preserve">s mbi </w:t>
      </w:r>
      <w:r w:rsidR="006D047F" w:rsidRPr="00991BFE">
        <w:rPr>
          <w:rFonts w:ascii="Times New Roman" w:hAnsi="Times New Roman" w:cs="Times New Roman"/>
          <w:sz w:val="24"/>
          <w:szCs w:val="24"/>
          <w:lang w:val="sq-AL"/>
        </w:rPr>
        <w:t>pasurinë</w:t>
      </w:r>
      <w:r w:rsidR="009D32BA" w:rsidRPr="00991BFE">
        <w:rPr>
          <w:rFonts w:ascii="Times New Roman" w:hAnsi="Times New Roman" w:cs="Times New Roman"/>
          <w:sz w:val="24"/>
          <w:szCs w:val="24"/>
          <w:lang w:val="sq-AL"/>
        </w:rPr>
        <w:t xml:space="preserve"> e paluajtshme. </w:t>
      </w:r>
    </w:p>
    <w:p w14:paraId="1F20B5A1" w14:textId="67B2AC59" w:rsidR="009D32BA" w:rsidRPr="00991BFE" w:rsidRDefault="009D32BA" w:rsidP="009D32BA">
      <w:pPr>
        <w:pStyle w:val="ListParagraph"/>
        <w:numPr>
          <w:ilvl w:val="0"/>
          <w:numId w:val="20"/>
        </w:num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mospages</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 s</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taksës s</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papaguar deri në ditën e fundit për pagesë, pas njoftimit të nxjerrë në përputhje me nenin 89 të ligjit për procedurat tatimore</w:t>
      </w:r>
    </w:p>
    <w:p w14:paraId="1B97EFA2" w14:textId="29029D56" w:rsidR="00F8747A" w:rsidRPr="00991BFE" w:rsidRDefault="00A87CD9"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2</w:t>
      </w:r>
      <w:r w:rsidR="009D32BA" w:rsidRPr="00991BFE">
        <w:rPr>
          <w:rFonts w:ascii="Times New Roman" w:hAnsi="Times New Roman" w:cs="Times New Roman"/>
          <w:b/>
          <w:sz w:val="24"/>
          <w:szCs w:val="24"/>
          <w:lang w:val="sq-AL"/>
        </w:rPr>
        <w:t>6</w:t>
      </w:r>
      <w:r w:rsidR="00F213B0" w:rsidRPr="00991BFE">
        <w:rPr>
          <w:rFonts w:ascii="Times New Roman" w:hAnsi="Times New Roman" w:cs="Times New Roman"/>
          <w:b/>
          <w:sz w:val="24"/>
          <w:szCs w:val="24"/>
          <w:lang w:val="sq-AL"/>
        </w:rPr>
        <w:t>,</w:t>
      </w:r>
      <w:r w:rsidR="00F213B0" w:rsidRPr="00991BFE">
        <w:rPr>
          <w:rFonts w:ascii="Times New Roman" w:hAnsi="Times New Roman" w:cs="Times New Roman"/>
          <w:sz w:val="24"/>
          <w:szCs w:val="24"/>
          <w:lang w:val="sq-AL"/>
        </w:rPr>
        <w:t xml:space="preserve"> p</w:t>
      </w:r>
      <w:r w:rsidR="00956E4E" w:rsidRPr="00991BFE">
        <w:rPr>
          <w:rFonts w:ascii="Times New Roman" w:hAnsi="Times New Roman" w:cs="Times New Roman"/>
          <w:sz w:val="24"/>
          <w:szCs w:val="24"/>
          <w:lang w:val="sq-AL"/>
        </w:rPr>
        <w:t>ë</w:t>
      </w:r>
      <w:r w:rsidR="00F213B0" w:rsidRPr="00991BFE">
        <w:rPr>
          <w:rFonts w:ascii="Times New Roman" w:hAnsi="Times New Roman" w:cs="Times New Roman"/>
          <w:sz w:val="24"/>
          <w:szCs w:val="24"/>
          <w:lang w:val="sq-AL"/>
        </w:rPr>
        <w:t xml:space="preserve">rcakton </w:t>
      </w:r>
      <w:r w:rsidR="00112EDC" w:rsidRPr="00991BFE">
        <w:rPr>
          <w:rFonts w:ascii="Times New Roman" w:hAnsi="Times New Roman" w:cs="Times New Roman"/>
          <w:sz w:val="24"/>
          <w:szCs w:val="24"/>
          <w:lang w:val="sq-AL"/>
        </w:rPr>
        <w:t>rregulla të detajuara që do të zbatohen për rimbursimin e de</w:t>
      </w:r>
      <w:r w:rsidR="00F03066" w:rsidRPr="00991BFE">
        <w:rPr>
          <w:rFonts w:ascii="Times New Roman" w:hAnsi="Times New Roman" w:cs="Times New Roman"/>
          <w:sz w:val="24"/>
          <w:szCs w:val="24"/>
          <w:lang w:val="sq-AL"/>
        </w:rPr>
        <w:t>tyrimeve që janë paguar më tepër</w:t>
      </w:r>
      <w:r w:rsidR="00112EDC" w:rsidRPr="00991BFE">
        <w:rPr>
          <w:rFonts w:ascii="Times New Roman" w:hAnsi="Times New Roman" w:cs="Times New Roman"/>
          <w:sz w:val="24"/>
          <w:szCs w:val="24"/>
          <w:lang w:val="sq-AL"/>
        </w:rPr>
        <w:t>.</w:t>
      </w:r>
    </w:p>
    <w:p w14:paraId="70E70FEB" w14:textId="72047B06" w:rsidR="00B47AB8" w:rsidRPr="00991BFE" w:rsidRDefault="00F8747A" w:rsidP="003173A6">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w:t>
      </w:r>
      <w:r w:rsidR="00A87CD9" w:rsidRPr="00991BFE">
        <w:rPr>
          <w:rFonts w:ascii="Times New Roman" w:hAnsi="Times New Roman" w:cs="Times New Roman"/>
          <w:b/>
          <w:sz w:val="24"/>
          <w:szCs w:val="24"/>
          <w:lang w:val="sq-AL"/>
        </w:rPr>
        <w:t xml:space="preserve">eni </w:t>
      </w:r>
      <w:r w:rsidR="00150079" w:rsidRPr="00991BFE">
        <w:rPr>
          <w:rFonts w:ascii="Times New Roman" w:hAnsi="Times New Roman" w:cs="Times New Roman"/>
          <w:b/>
          <w:sz w:val="24"/>
          <w:szCs w:val="24"/>
          <w:lang w:val="sq-AL"/>
        </w:rPr>
        <w:t>2</w:t>
      </w:r>
      <w:r w:rsidR="009D32BA" w:rsidRPr="00991BFE">
        <w:rPr>
          <w:rFonts w:ascii="Times New Roman" w:hAnsi="Times New Roman" w:cs="Times New Roman"/>
          <w:b/>
          <w:sz w:val="24"/>
          <w:szCs w:val="24"/>
          <w:lang w:val="sq-AL"/>
        </w:rPr>
        <w:t>7</w:t>
      </w:r>
      <w:r w:rsidRPr="00991BFE">
        <w:rPr>
          <w:rFonts w:ascii="Times New Roman" w:hAnsi="Times New Roman" w:cs="Times New Roman"/>
          <w:sz w:val="24"/>
          <w:szCs w:val="24"/>
          <w:lang w:val="sq-AL"/>
        </w:rPr>
        <w:t xml:space="preserve">, </w:t>
      </w:r>
      <w:r w:rsidR="00B47AB8"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B47AB8" w:rsidRPr="00991BFE">
        <w:rPr>
          <w:rFonts w:ascii="Times New Roman" w:hAnsi="Times New Roman" w:cs="Times New Roman"/>
          <w:sz w:val="24"/>
          <w:szCs w:val="24"/>
          <w:lang w:val="sq-AL"/>
        </w:rPr>
        <w:t>rcakton informacionin q</w:t>
      </w:r>
      <w:r w:rsidR="00D3437F" w:rsidRPr="00991BFE">
        <w:rPr>
          <w:rFonts w:ascii="Times New Roman" w:hAnsi="Times New Roman" w:cs="Times New Roman"/>
          <w:sz w:val="24"/>
          <w:szCs w:val="24"/>
          <w:lang w:val="sq-AL"/>
        </w:rPr>
        <w:t>ë</w:t>
      </w:r>
      <w:r w:rsidR="00B47AB8" w:rsidRPr="00991BFE">
        <w:rPr>
          <w:rFonts w:ascii="Times New Roman" w:hAnsi="Times New Roman" w:cs="Times New Roman"/>
          <w:sz w:val="24"/>
          <w:szCs w:val="24"/>
          <w:lang w:val="sq-AL"/>
        </w:rPr>
        <w:t xml:space="preserve"> do t</w:t>
      </w:r>
      <w:r w:rsidR="00D3437F" w:rsidRPr="00991BFE">
        <w:rPr>
          <w:rFonts w:ascii="Times New Roman" w:hAnsi="Times New Roman" w:cs="Times New Roman"/>
          <w:sz w:val="24"/>
          <w:szCs w:val="24"/>
          <w:lang w:val="sq-AL"/>
        </w:rPr>
        <w:t>ë</w:t>
      </w:r>
      <w:r w:rsidR="00B47AB8" w:rsidRPr="00991BFE">
        <w:rPr>
          <w:rFonts w:ascii="Times New Roman" w:hAnsi="Times New Roman" w:cs="Times New Roman"/>
          <w:sz w:val="24"/>
          <w:szCs w:val="24"/>
          <w:lang w:val="sq-AL"/>
        </w:rPr>
        <w:t xml:space="preserve"> publikohet në </w:t>
      </w:r>
      <w:r w:rsidR="009D32BA" w:rsidRPr="00991BFE">
        <w:rPr>
          <w:rFonts w:ascii="Times New Roman" w:hAnsi="Times New Roman" w:cs="Times New Roman"/>
          <w:sz w:val="24"/>
          <w:szCs w:val="24"/>
          <w:lang w:val="sq-AL"/>
        </w:rPr>
        <w:t>faqen e internetit t</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 xml:space="preserve"> Drejtoris</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 xml:space="preserve"> s</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 xml:space="preserve"> P</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rgjithshme t</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 xml:space="preserve"> Pasuris</w:t>
      </w:r>
      <w:r w:rsidR="00BD351D" w:rsidRPr="00991BFE">
        <w:rPr>
          <w:rFonts w:ascii="Times New Roman" w:hAnsi="Times New Roman" w:cs="Times New Roman"/>
          <w:sz w:val="24"/>
          <w:szCs w:val="24"/>
          <w:lang w:val="sq-AL"/>
        </w:rPr>
        <w:t>ë</w:t>
      </w:r>
      <w:r w:rsidR="009D32BA" w:rsidRPr="00991BFE">
        <w:rPr>
          <w:rFonts w:ascii="Times New Roman" w:hAnsi="Times New Roman" w:cs="Times New Roman"/>
          <w:sz w:val="24"/>
          <w:szCs w:val="24"/>
          <w:lang w:val="sq-AL"/>
        </w:rPr>
        <w:t xml:space="preserve">. </w:t>
      </w:r>
      <w:r w:rsidR="00466DD9" w:rsidRPr="00991BFE">
        <w:rPr>
          <w:rFonts w:ascii="Times New Roman" w:hAnsi="Times New Roman" w:cs="Times New Roman"/>
          <w:sz w:val="24"/>
          <w:szCs w:val="24"/>
          <w:lang w:val="sq-AL"/>
        </w:rPr>
        <w:t>Publikimi i këtij informacioni  do t</w:t>
      </w:r>
      <w:r w:rsidR="00D3437F" w:rsidRPr="00991BFE">
        <w:rPr>
          <w:rFonts w:ascii="Times New Roman" w:hAnsi="Times New Roman" w:cs="Times New Roman"/>
          <w:sz w:val="24"/>
          <w:szCs w:val="24"/>
          <w:lang w:val="sq-AL"/>
        </w:rPr>
        <w:t>ë</w:t>
      </w:r>
      <w:r w:rsidR="00466DD9" w:rsidRPr="00991BFE">
        <w:rPr>
          <w:rFonts w:ascii="Times New Roman" w:hAnsi="Times New Roman" w:cs="Times New Roman"/>
          <w:sz w:val="24"/>
          <w:szCs w:val="24"/>
          <w:lang w:val="sq-AL"/>
        </w:rPr>
        <w:t xml:space="preserve"> mund</w:t>
      </w:r>
      <w:r w:rsidR="00D3437F" w:rsidRPr="00991BFE">
        <w:rPr>
          <w:rFonts w:ascii="Times New Roman" w:hAnsi="Times New Roman" w:cs="Times New Roman"/>
          <w:sz w:val="24"/>
          <w:szCs w:val="24"/>
          <w:lang w:val="sq-AL"/>
        </w:rPr>
        <w:t>ë</w:t>
      </w:r>
      <w:r w:rsidR="00466DD9" w:rsidRPr="00991BFE">
        <w:rPr>
          <w:rFonts w:ascii="Times New Roman" w:hAnsi="Times New Roman" w:cs="Times New Roman"/>
          <w:sz w:val="24"/>
          <w:szCs w:val="24"/>
          <w:lang w:val="sq-AL"/>
        </w:rPr>
        <w:t>soj</w:t>
      </w:r>
      <w:r w:rsidR="00D3437F" w:rsidRPr="00991BFE">
        <w:rPr>
          <w:rFonts w:ascii="Times New Roman" w:hAnsi="Times New Roman" w:cs="Times New Roman"/>
          <w:sz w:val="24"/>
          <w:szCs w:val="24"/>
          <w:lang w:val="sq-AL"/>
        </w:rPr>
        <w:t>ë</w:t>
      </w:r>
      <w:r w:rsidR="00466DD9" w:rsidRPr="00991BFE">
        <w:rPr>
          <w:rFonts w:ascii="Times New Roman" w:hAnsi="Times New Roman" w:cs="Times New Roman"/>
          <w:sz w:val="24"/>
          <w:szCs w:val="24"/>
          <w:lang w:val="sq-AL"/>
        </w:rPr>
        <w:t xml:space="preserve"> pasjen e një sistemi transparent të taksës së pasurisë, që siguron informimin në kohë të taksapaguesve dhe rrit besimin e tyre tek autoritet publike.</w:t>
      </w:r>
    </w:p>
    <w:p w14:paraId="1F0DD6E6" w14:textId="5AAA99A2" w:rsidR="00EB238D" w:rsidRPr="00991BFE" w:rsidRDefault="002E6E91"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Nenet 28 dhe 29,</w:t>
      </w:r>
      <w:r w:rsidR="00112EDC" w:rsidRPr="00991BFE">
        <w:rPr>
          <w:rFonts w:ascii="Times New Roman" w:hAnsi="Times New Roman" w:cs="Times New Roman"/>
          <w:b/>
          <w:sz w:val="24"/>
          <w:szCs w:val="24"/>
          <w:lang w:val="sq-AL"/>
        </w:rPr>
        <w:t xml:space="preserve"> </w:t>
      </w:r>
      <w:r w:rsidRPr="00991BFE">
        <w:rPr>
          <w:rFonts w:ascii="Times New Roman" w:hAnsi="Times New Roman" w:cs="Times New Roman"/>
          <w:sz w:val="24"/>
          <w:szCs w:val="24"/>
          <w:lang w:val="sq-AL"/>
        </w:rPr>
        <w:t>p</w:t>
      </w:r>
      <w:r w:rsidR="00BD351D"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rcakto</w:t>
      </w:r>
      <w:r w:rsidR="00852263" w:rsidRPr="00991BFE">
        <w:rPr>
          <w:rFonts w:ascii="Times New Roman" w:hAnsi="Times New Roman" w:cs="Times New Roman"/>
          <w:sz w:val="24"/>
          <w:szCs w:val="24"/>
          <w:lang w:val="sq-AL"/>
        </w:rPr>
        <w:t>j</w:t>
      </w:r>
      <w:r w:rsidRPr="00991BFE">
        <w:rPr>
          <w:rFonts w:ascii="Times New Roman" w:hAnsi="Times New Roman" w:cs="Times New Roman"/>
          <w:sz w:val="24"/>
          <w:szCs w:val="24"/>
          <w:lang w:val="sq-AL"/>
        </w:rPr>
        <w:t>n</w:t>
      </w:r>
      <w:r w:rsidR="00852263" w:rsidRPr="00991BFE">
        <w:rPr>
          <w:rFonts w:ascii="Times New Roman" w:hAnsi="Times New Roman" w:cs="Times New Roman"/>
          <w:sz w:val="24"/>
          <w:szCs w:val="24"/>
          <w:lang w:val="sq-AL"/>
        </w:rPr>
        <w:t>ë</w:t>
      </w:r>
      <w:r w:rsidR="00351CBA" w:rsidRPr="00991BFE">
        <w:rPr>
          <w:rFonts w:ascii="Times New Roman" w:hAnsi="Times New Roman" w:cs="Times New Roman"/>
          <w:sz w:val="24"/>
          <w:szCs w:val="24"/>
          <w:lang w:val="sq-AL"/>
        </w:rPr>
        <w:t xml:space="preserve"> m</w:t>
      </w:r>
      <w:r w:rsidR="00956E4E"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nyrat, </w:t>
      </w:r>
      <w:r w:rsidR="001F4A7F" w:rsidRPr="00991BFE">
        <w:rPr>
          <w:rFonts w:ascii="Times New Roman" w:hAnsi="Times New Roman" w:cs="Times New Roman"/>
          <w:sz w:val="24"/>
          <w:szCs w:val="24"/>
          <w:lang w:val="sq-AL"/>
        </w:rPr>
        <w:t xml:space="preserve">procedurat </w:t>
      </w:r>
      <w:r w:rsidRPr="00991BFE">
        <w:rPr>
          <w:rFonts w:ascii="Times New Roman" w:hAnsi="Times New Roman" w:cs="Times New Roman"/>
          <w:sz w:val="24"/>
          <w:szCs w:val="24"/>
          <w:lang w:val="sq-AL"/>
        </w:rPr>
        <w:t xml:space="preserve">dhe afatet </w:t>
      </w:r>
      <w:r w:rsidR="0086562F" w:rsidRPr="00991BFE">
        <w:rPr>
          <w:rFonts w:ascii="Times New Roman" w:hAnsi="Times New Roman" w:cs="Times New Roman"/>
          <w:sz w:val="24"/>
          <w:szCs w:val="24"/>
          <w:lang w:val="sq-AL"/>
        </w:rPr>
        <w:t xml:space="preserve">për </w:t>
      </w:r>
      <w:r w:rsidR="009C6A9F" w:rsidRPr="00991BFE">
        <w:rPr>
          <w:rFonts w:ascii="Times New Roman" w:hAnsi="Times New Roman" w:cs="Times New Roman"/>
          <w:sz w:val="24"/>
          <w:szCs w:val="24"/>
          <w:lang w:val="sq-AL"/>
        </w:rPr>
        <w:t xml:space="preserve"> </w:t>
      </w:r>
      <w:r w:rsidR="00131C27" w:rsidRPr="00991BFE">
        <w:rPr>
          <w:rFonts w:ascii="Times New Roman" w:hAnsi="Times New Roman" w:cs="Times New Roman"/>
          <w:sz w:val="24"/>
          <w:szCs w:val="24"/>
          <w:lang w:val="sq-AL"/>
        </w:rPr>
        <w:t>njoftimin e</w:t>
      </w:r>
      <w:r w:rsidR="009C6A9F" w:rsidRPr="00991BFE">
        <w:rPr>
          <w:rFonts w:ascii="Times New Roman" w:hAnsi="Times New Roman" w:cs="Times New Roman"/>
          <w:sz w:val="24"/>
          <w:szCs w:val="24"/>
          <w:lang w:val="sq-AL"/>
        </w:rPr>
        <w:t xml:space="preserve"> </w:t>
      </w:r>
      <w:r w:rsidR="00112EDC" w:rsidRPr="00991BFE">
        <w:rPr>
          <w:rFonts w:ascii="Times New Roman" w:hAnsi="Times New Roman" w:cs="Times New Roman"/>
          <w:sz w:val="24"/>
          <w:szCs w:val="24"/>
          <w:lang w:val="sq-AL"/>
        </w:rPr>
        <w:t>akteve t</w:t>
      </w:r>
      <w:r w:rsidR="00225608" w:rsidRPr="00991BFE">
        <w:rPr>
          <w:rFonts w:ascii="Times New Roman" w:hAnsi="Times New Roman" w:cs="Times New Roman"/>
          <w:sz w:val="24"/>
          <w:szCs w:val="24"/>
          <w:lang w:val="sq-AL"/>
        </w:rPr>
        <w:t>ë</w:t>
      </w:r>
      <w:r w:rsidR="00112EDC" w:rsidRPr="00991BFE">
        <w:rPr>
          <w:rFonts w:ascii="Times New Roman" w:hAnsi="Times New Roman" w:cs="Times New Roman"/>
          <w:sz w:val="24"/>
          <w:szCs w:val="24"/>
          <w:lang w:val="sq-AL"/>
        </w:rPr>
        <w:t xml:space="preserve"> nxjerra. </w:t>
      </w:r>
      <w:r w:rsidR="003320F3" w:rsidRPr="00991BFE">
        <w:rPr>
          <w:rFonts w:ascii="Times New Roman" w:hAnsi="Times New Roman" w:cs="Times New Roman"/>
          <w:sz w:val="24"/>
          <w:szCs w:val="24"/>
          <w:lang w:val="sq-AL"/>
        </w:rPr>
        <w:t xml:space="preserve">Projektligji parashikon, në vazhdim të mënyrave tradicionale të njoftimit, mënyra të avancuara që lejojnë shfrytëzimin e teknologjisë për të rritur kontaktin me të gjithë qytetarët Shqiptarë, përfshirë ata që jetojnë jashtë, duke rritur kështu efektivitetin e njoftimit dhe informuar në mënyrë të përshtatshme e në kohë taksapaguesit për detyrimet e tyre. </w:t>
      </w:r>
    </w:p>
    <w:p w14:paraId="70FA0A12" w14:textId="267D25FA" w:rsidR="00112EDC" w:rsidRPr="00991BFE" w:rsidRDefault="00A87CD9"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3</w:t>
      </w:r>
      <w:r w:rsidR="002E6E91" w:rsidRPr="00991BFE">
        <w:rPr>
          <w:rFonts w:ascii="Times New Roman" w:hAnsi="Times New Roman" w:cs="Times New Roman"/>
          <w:b/>
          <w:sz w:val="24"/>
          <w:szCs w:val="24"/>
          <w:lang w:val="sq-AL"/>
        </w:rPr>
        <w:t>0</w:t>
      </w:r>
      <w:r w:rsidR="00112EDC" w:rsidRPr="00991BFE">
        <w:rPr>
          <w:rFonts w:ascii="Times New Roman" w:hAnsi="Times New Roman" w:cs="Times New Roman"/>
          <w:b/>
          <w:sz w:val="24"/>
          <w:szCs w:val="24"/>
          <w:lang w:val="sq-AL"/>
        </w:rPr>
        <w:t xml:space="preserve">, </w:t>
      </w:r>
      <w:r w:rsidR="00112EDC" w:rsidRPr="00991BFE">
        <w:rPr>
          <w:rFonts w:ascii="Times New Roman" w:hAnsi="Times New Roman" w:cs="Times New Roman"/>
          <w:sz w:val="24"/>
          <w:szCs w:val="24"/>
          <w:lang w:val="sq-AL"/>
        </w:rPr>
        <w:t xml:space="preserve">sanksionon doktrinën “lex specialis”. Sipas këtij neni, </w:t>
      </w:r>
      <w:r w:rsidR="002E6E91" w:rsidRPr="00991BFE">
        <w:rPr>
          <w:rFonts w:ascii="Times New Roman" w:hAnsi="Times New Roman" w:cs="Times New Roman"/>
          <w:sz w:val="24"/>
          <w:szCs w:val="24"/>
          <w:lang w:val="sq-AL"/>
        </w:rPr>
        <w:t>përveçse kur parashikohet ndryshe në këtë ligj, administrimi i taksës mbi pasurinë e paluajtshme do të rregullohet siç parashikohet në dispozitat e këtij ligji. Në rast mospërputhje ndërmjet këtyre dispozitave dhe dispozitave ligjore në fuqi për procedurat tatimore, taksat vendore, ose ndonjë ligji tjetër të zbatueshëm, dispozitat në këtë ligj kanë përparësi</w:t>
      </w:r>
      <w:r w:rsidRPr="00991BFE">
        <w:rPr>
          <w:rFonts w:ascii="Times New Roman" w:hAnsi="Times New Roman" w:cs="Times New Roman"/>
          <w:sz w:val="24"/>
          <w:szCs w:val="24"/>
          <w:lang w:val="sq-AL"/>
        </w:rPr>
        <w:t>.</w:t>
      </w:r>
    </w:p>
    <w:p w14:paraId="4361508C" w14:textId="533B499C" w:rsidR="00865A45" w:rsidRPr="00991BFE" w:rsidRDefault="00865A45"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Kalimi nga një sistem taksimi i bazuar në sipërfaqe për tokën, në një sistem taksimi të bazuar në vlerën e tregut, mund të rrisë barrën tatimore. Një rritje e menjëhershme e barrës tatimore nga një vit në tjetrin nuk është e këshillueshme. Për këtë arsye, </w:t>
      </w:r>
      <w:r w:rsidR="00A87CD9" w:rsidRPr="00991BFE">
        <w:rPr>
          <w:rFonts w:ascii="Times New Roman" w:hAnsi="Times New Roman" w:cs="Times New Roman"/>
          <w:b/>
          <w:sz w:val="24"/>
          <w:szCs w:val="24"/>
          <w:lang w:val="sq-AL"/>
        </w:rPr>
        <w:t>neni 3</w:t>
      </w:r>
      <w:r w:rsidR="00424ACE" w:rsidRPr="00991BFE">
        <w:rPr>
          <w:rFonts w:ascii="Times New Roman" w:hAnsi="Times New Roman" w:cs="Times New Roman"/>
          <w:b/>
          <w:sz w:val="24"/>
          <w:szCs w:val="24"/>
          <w:lang w:val="sq-AL"/>
        </w:rPr>
        <w:t>1</w:t>
      </w:r>
      <w:r w:rsidRPr="00991BFE">
        <w:rPr>
          <w:rFonts w:ascii="Times New Roman" w:hAnsi="Times New Roman" w:cs="Times New Roman"/>
          <w:b/>
          <w:sz w:val="24"/>
          <w:szCs w:val="24"/>
          <w:lang w:val="sq-AL"/>
        </w:rPr>
        <w:t xml:space="preserve">, </w:t>
      </w:r>
      <w:r w:rsidR="005C6B5E" w:rsidRPr="00991BFE">
        <w:rPr>
          <w:rFonts w:ascii="Times New Roman" w:hAnsi="Times New Roman" w:cs="Times New Roman"/>
          <w:sz w:val="24"/>
          <w:szCs w:val="24"/>
          <w:lang w:val="sq-AL"/>
        </w:rPr>
        <w:t>p</w:t>
      </w:r>
      <w:r w:rsidR="00D3437F" w:rsidRPr="00991BFE">
        <w:rPr>
          <w:rFonts w:ascii="Times New Roman" w:hAnsi="Times New Roman" w:cs="Times New Roman"/>
          <w:sz w:val="24"/>
          <w:szCs w:val="24"/>
          <w:lang w:val="sq-AL"/>
        </w:rPr>
        <w:t>ë</w:t>
      </w:r>
      <w:r w:rsidR="005C6B5E" w:rsidRPr="00991BFE">
        <w:rPr>
          <w:rFonts w:ascii="Times New Roman" w:hAnsi="Times New Roman" w:cs="Times New Roman"/>
          <w:sz w:val="24"/>
          <w:szCs w:val="24"/>
          <w:lang w:val="sq-AL"/>
        </w:rPr>
        <w:t xml:space="preserve">rcakton </w:t>
      </w:r>
      <w:r w:rsidRPr="00991BFE">
        <w:rPr>
          <w:rFonts w:ascii="Times New Roman" w:hAnsi="Times New Roman" w:cs="Times New Roman"/>
          <w:sz w:val="24"/>
          <w:szCs w:val="24"/>
          <w:lang w:val="sq-AL"/>
        </w:rPr>
        <w:t>aplikimin e një zbritje nga vlera e vlerësuar e parcelës që i nënshtrohet taksimit, në dy vitet e para tatimore, duke filluar nga viti i vendosjes së taksës së bazuar mbi vlerën e tregut për parcelat. Zbritja do të jetë e barabartë me 50% (</w:t>
      </w:r>
      <w:r w:rsidRPr="00991BFE">
        <w:rPr>
          <w:rFonts w:ascii="Times New Roman" w:hAnsi="Times New Roman" w:cs="Times New Roman"/>
          <w:i/>
          <w:sz w:val="24"/>
          <w:szCs w:val="24"/>
          <w:lang w:val="sq-AL"/>
        </w:rPr>
        <w:t>pesëdhjetë përqind</w:t>
      </w:r>
      <w:r w:rsidRPr="00991BFE">
        <w:rPr>
          <w:rFonts w:ascii="Times New Roman" w:hAnsi="Times New Roman" w:cs="Times New Roman"/>
          <w:sz w:val="24"/>
          <w:szCs w:val="24"/>
          <w:lang w:val="sq-AL"/>
        </w:rPr>
        <w:t xml:space="preserve">) të vlerës së </w:t>
      </w:r>
      <w:r w:rsidR="00B46A27" w:rsidRPr="00991BFE">
        <w:rPr>
          <w:rFonts w:ascii="Times New Roman" w:hAnsi="Times New Roman" w:cs="Times New Roman"/>
          <w:sz w:val="24"/>
          <w:szCs w:val="24"/>
          <w:lang w:val="sq-AL"/>
        </w:rPr>
        <w:t xml:space="preserve">vlerësuar të </w:t>
      </w:r>
      <w:r w:rsidRPr="00991BFE">
        <w:rPr>
          <w:rFonts w:ascii="Times New Roman" w:hAnsi="Times New Roman" w:cs="Times New Roman"/>
          <w:sz w:val="24"/>
          <w:szCs w:val="24"/>
          <w:lang w:val="sq-AL"/>
        </w:rPr>
        <w:t>parcelës. Në këtë mënyrë, taksa e re e bazuar në vlerën e tregut mund të fillojë të zbatohet në mënyrë më të lehtë dhe taksapaguesit të mësohen gradualisht me pagesën e saj.</w:t>
      </w:r>
    </w:p>
    <w:p w14:paraId="692E120B" w14:textId="560E5C6D" w:rsidR="00D42DF3" w:rsidRPr="00991BFE" w:rsidRDefault="00D42DF3"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Për shkak </w:t>
      </w:r>
      <w:r w:rsidR="007A4A0E" w:rsidRPr="00991BFE">
        <w:rPr>
          <w:rFonts w:ascii="Times New Roman" w:hAnsi="Times New Roman" w:cs="Times New Roman"/>
          <w:sz w:val="24"/>
          <w:szCs w:val="24"/>
          <w:lang w:val="sq-AL"/>
        </w:rPr>
        <w:t>t</w:t>
      </w:r>
      <w:r w:rsidR="00D3437F" w:rsidRPr="00991BFE">
        <w:rPr>
          <w:rFonts w:ascii="Times New Roman" w:hAnsi="Times New Roman" w:cs="Times New Roman"/>
          <w:sz w:val="24"/>
          <w:szCs w:val="24"/>
          <w:lang w:val="sq-AL"/>
        </w:rPr>
        <w:t>ë</w:t>
      </w:r>
      <w:r w:rsidR="007A4A0E"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sfidave dhe problematikave që ka realizmi i një reforme me përmasa të tilla, përvojës së këtyre viteve të shkuara, si dhe përvojave nga vendet e tjera, është vendosur që zbatimi i taksës së re (</w:t>
      </w:r>
      <w:r w:rsidRPr="00991BFE">
        <w:rPr>
          <w:rFonts w:ascii="Times New Roman" w:hAnsi="Times New Roman" w:cs="Times New Roman"/>
          <w:i/>
          <w:sz w:val="24"/>
          <w:szCs w:val="24"/>
          <w:lang w:val="sq-AL"/>
        </w:rPr>
        <w:t>të bazuar në vlerën e tregut</w:t>
      </w:r>
      <w:r w:rsidRPr="00991BFE">
        <w:rPr>
          <w:rFonts w:ascii="Times New Roman" w:hAnsi="Times New Roman" w:cs="Times New Roman"/>
          <w:sz w:val="24"/>
          <w:szCs w:val="24"/>
          <w:lang w:val="sq-AL"/>
        </w:rPr>
        <w:t>), të realizohet në dy faza, fillimisht për ndërtesat dhe më pas për tokën.</w:t>
      </w:r>
      <w:r w:rsidR="003B7FB2" w:rsidRPr="00991BFE">
        <w:rPr>
          <w:rFonts w:ascii="Times New Roman" w:hAnsi="Times New Roman" w:cs="Times New Roman"/>
          <w:sz w:val="24"/>
          <w:szCs w:val="24"/>
          <w:lang w:val="sq-AL"/>
        </w:rPr>
        <w:t xml:space="preserve"> Në këtë kuadër,</w:t>
      </w:r>
      <w:r w:rsidRPr="00991BFE">
        <w:rPr>
          <w:rFonts w:ascii="Times New Roman" w:hAnsi="Times New Roman" w:cs="Times New Roman"/>
          <w:sz w:val="24"/>
          <w:szCs w:val="24"/>
          <w:lang w:val="sq-AL"/>
        </w:rPr>
        <w:t xml:space="preserve"> </w:t>
      </w:r>
      <w:r w:rsidR="00166C1B" w:rsidRPr="00991BFE">
        <w:rPr>
          <w:rFonts w:ascii="Times New Roman" w:hAnsi="Times New Roman" w:cs="Times New Roman"/>
          <w:b/>
          <w:sz w:val="24"/>
          <w:szCs w:val="24"/>
          <w:lang w:val="sq-AL"/>
        </w:rPr>
        <w:t>neni 3</w:t>
      </w:r>
      <w:r w:rsidR="00424ACE" w:rsidRPr="00991BFE">
        <w:rPr>
          <w:rFonts w:ascii="Times New Roman" w:hAnsi="Times New Roman" w:cs="Times New Roman"/>
          <w:b/>
          <w:sz w:val="24"/>
          <w:szCs w:val="24"/>
          <w:lang w:val="sq-AL"/>
        </w:rPr>
        <w:t>2</w:t>
      </w:r>
      <w:r w:rsidRPr="00991BFE">
        <w:rPr>
          <w:rFonts w:ascii="Times New Roman" w:hAnsi="Times New Roman" w:cs="Times New Roman"/>
          <w:sz w:val="24"/>
          <w:szCs w:val="24"/>
          <w:lang w:val="sq-AL"/>
        </w:rPr>
        <w:t xml:space="preserve"> i projektligjit parashikon se zbatimi i taksës së re të bazuar në vlerën</w:t>
      </w:r>
      <w:r w:rsidR="00166C1B" w:rsidRPr="00991BFE">
        <w:rPr>
          <w:rFonts w:ascii="Times New Roman" w:hAnsi="Times New Roman" w:cs="Times New Roman"/>
          <w:sz w:val="24"/>
          <w:szCs w:val="24"/>
          <w:lang w:val="sq-AL"/>
        </w:rPr>
        <w:t xml:space="preserve"> e tregut, do të fillojë në 20</w:t>
      </w:r>
      <w:r w:rsidR="004946DF" w:rsidRPr="00991BFE">
        <w:rPr>
          <w:rFonts w:ascii="Times New Roman" w:hAnsi="Times New Roman" w:cs="Times New Roman"/>
          <w:sz w:val="24"/>
          <w:szCs w:val="24"/>
          <w:lang w:val="sq-AL"/>
        </w:rPr>
        <w:t>2</w:t>
      </w:r>
      <w:r w:rsidR="00424ACE" w:rsidRPr="00991BFE">
        <w:rPr>
          <w:rFonts w:ascii="Times New Roman" w:hAnsi="Times New Roman" w:cs="Times New Roman"/>
          <w:sz w:val="24"/>
          <w:szCs w:val="24"/>
          <w:lang w:val="sq-AL"/>
        </w:rPr>
        <w:t>9</w:t>
      </w:r>
      <w:r w:rsidRPr="00991BFE">
        <w:rPr>
          <w:rFonts w:ascii="Times New Roman" w:hAnsi="Times New Roman" w:cs="Times New Roman"/>
          <w:sz w:val="24"/>
          <w:szCs w:val="24"/>
          <w:lang w:val="sq-AL"/>
        </w:rPr>
        <w:t>, për nj</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sit</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e ndërtes</w:t>
      </w:r>
      <w:r w:rsidR="00166C1B" w:rsidRPr="00991BFE">
        <w:rPr>
          <w:rFonts w:ascii="Times New Roman" w:hAnsi="Times New Roman" w:cs="Times New Roman"/>
          <w:sz w:val="24"/>
          <w:szCs w:val="24"/>
          <w:lang w:val="sq-AL"/>
        </w:rPr>
        <w:t>ave dhe në 20</w:t>
      </w:r>
      <w:r w:rsidR="004946DF" w:rsidRPr="00991BFE">
        <w:rPr>
          <w:rFonts w:ascii="Times New Roman" w:hAnsi="Times New Roman" w:cs="Times New Roman"/>
          <w:sz w:val="24"/>
          <w:szCs w:val="24"/>
          <w:lang w:val="sq-AL"/>
        </w:rPr>
        <w:t>3</w:t>
      </w:r>
      <w:r w:rsidR="00424ACE" w:rsidRPr="00991BFE">
        <w:rPr>
          <w:rFonts w:ascii="Times New Roman" w:hAnsi="Times New Roman" w:cs="Times New Roman"/>
          <w:sz w:val="24"/>
          <w:szCs w:val="24"/>
          <w:lang w:val="sq-AL"/>
        </w:rPr>
        <w:t>1</w:t>
      </w:r>
      <w:r w:rsidRPr="00991BFE">
        <w:rPr>
          <w:rFonts w:ascii="Times New Roman" w:hAnsi="Times New Roman" w:cs="Times New Roman"/>
          <w:sz w:val="24"/>
          <w:szCs w:val="24"/>
          <w:lang w:val="sq-AL"/>
        </w:rPr>
        <w:t>, për parcelat.</w:t>
      </w:r>
      <w:r w:rsidR="00156E9B" w:rsidRPr="00991BFE">
        <w:rPr>
          <w:rFonts w:ascii="Times New Roman" w:hAnsi="Times New Roman" w:cs="Times New Roman"/>
          <w:sz w:val="24"/>
          <w:szCs w:val="24"/>
          <w:lang w:val="sq-AL"/>
        </w:rPr>
        <w:t xml:space="preserve"> </w:t>
      </w:r>
    </w:p>
    <w:p w14:paraId="277731D9" w14:textId="3B49FD6C" w:rsidR="00166C1B" w:rsidRPr="00991BFE" w:rsidRDefault="00D42DF3" w:rsidP="00166C1B">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Nd</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rkoh</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q</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p</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 p</w:t>
      </w:r>
      <w:r w:rsidR="003B7FB2" w:rsidRPr="00991BFE">
        <w:rPr>
          <w:rFonts w:ascii="Times New Roman" w:hAnsi="Times New Roman" w:cs="Times New Roman"/>
          <w:sz w:val="24"/>
          <w:szCs w:val="24"/>
          <w:lang w:val="sq-AL"/>
        </w:rPr>
        <w:t>eri</w:t>
      </w:r>
      <w:r w:rsidRPr="00991BFE">
        <w:rPr>
          <w:rFonts w:ascii="Times New Roman" w:hAnsi="Times New Roman" w:cs="Times New Roman"/>
          <w:sz w:val="24"/>
          <w:szCs w:val="24"/>
          <w:lang w:val="sq-AL"/>
        </w:rPr>
        <w:t>udh</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 e nd</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rmjetme tranzitore, </w:t>
      </w:r>
      <w:r w:rsidR="00424ACE" w:rsidRPr="00991BFE">
        <w:rPr>
          <w:rFonts w:ascii="Times New Roman" w:hAnsi="Times New Roman" w:cs="Times New Roman"/>
          <w:sz w:val="24"/>
          <w:szCs w:val="24"/>
          <w:lang w:val="sq-AL"/>
        </w:rPr>
        <w:t>vendosja dhe mbledhja e taksës mbi ndërtesat, bëhet deri në datë 31 dhjetor 2028, në përputhje me dispozitat kalimtare në nenet 33, 34 dhe 36 të</w:t>
      </w:r>
      <w:r w:rsidR="00202442">
        <w:rPr>
          <w:rFonts w:ascii="Times New Roman" w:hAnsi="Times New Roman" w:cs="Times New Roman"/>
          <w:sz w:val="24"/>
          <w:szCs w:val="24"/>
          <w:lang w:val="sq-AL"/>
        </w:rPr>
        <w:t xml:space="preserve"> parashikuara në projektligj</w:t>
      </w:r>
      <w:r w:rsidR="00424ACE" w:rsidRPr="00991BFE">
        <w:rPr>
          <w:rFonts w:ascii="Times New Roman" w:hAnsi="Times New Roman" w:cs="Times New Roman"/>
          <w:sz w:val="24"/>
          <w:szCs w:val="24"/>
          <w:lang w:val="sq-AL"/>
        </w:rPr>
        <w:t>, dispozitat ligjore në fuqi për sistemin e taksave vendore dhe ato për procedurat tatimore</w:t>
      </w:r>
      <w:r w:rsidR="00166C1B" w:rsidRPr="00991BFE">
        <w:rPr>
          <w:rFonts w:ascii="Times New Roman" w:hAnsi="Times New Roman" w:cs="Times New Roman"/>
          <w:sz w:val="24"/>
          <w:szCs w:val="24"/>
          <w:lang w:val="sq-AL"/>
        </w:rPr>
        <w:t>, nd</w:t>
      </w:r>
      <w:r w:rsidR="002D0633" w:rsidRPr="00991BFE">
        <w:rPr>
          <w:rFonts w:ascii="Times New Roman" w:hAnsi="Times New Roman" w:cs="Times New Roman"/>
          <w:sz w:val="24"/>
          <w:szCs w:val="24"/>
          <w:lang w:val="sq-AL"/>
        </w:rPr>
        <w:t>ë</w:t>
      </w:r>
      <w:r w:rsidR="00166C1B" w:rsidRPr="00991BFE">
        <w:rPr>
          <w:rFonts w:ascii="Times New Roman" w:hAnsi="Times New Roman" w:cs="Times New Roman"/>
          <w:sz w:val="24"/>
          <w:szCs w:val="24"/>
          <w:lang w:val="sq-AL"/>
        </w:rPr>
        <w:t xml:space="preserve">rsa </w:t>
      </w:r>
      <w:r w:rsidR="00202442">
        <w:rPr>
          <w:rFonts w:ascii="Times New Roman" w:hAnsi="Times New Roman" w:cs="Times New Roman"/>
          <w:sz w:val="24"/>
          <w:szCs w:val="24"/>
          <w:lang w:val="sq-AL"/>
        </w:rPr>
        <w:t>v</w:t>
      </w:r>
      <w:r w:rsidR="00424ACE" w:rsidRPr="00991BFE">
        <w:rPr>
          <w:rFonts w:ascii="Times New Roman" w:hAnsi="Times New Roman" w:cs="Times New Roman"/>
          <w:sz w:val="24"/>
          <w:szCs w:val="24"/>
          <w:lang w:val="sq-AL"/>
        </w:rPr>
        <w:t xml:space="preserve">endosja dhe mbledhja e taksës mbi parcelat, për kategoritë tokë bujqësore dhe truall, bëhet deri në datë 31 dhjetor 2030, në përputhje me dispozitat kalimtare në </w:t>
      </w:r>
      <w:r w:rsidR="00424ACE" w:rsidRPr="00991BFE">
        <w:rPr>
          <w:rFonts w:ascii="Times New Roman" w:hAnsi="Times New Roman" w:cs="Times New Roman"/>
          <w:sz w:val="24"/>
          <w:szCs w:val="24"/>
          <w:lang w:val="sq-AL"/>
        </w:rPr>
        <w:lastRenderedPageBreak/>
        <w:t xml:space="preserve">nenet 33, 35 dhe 36 të </w:t>
      </w:r>
      <w:r w:rsidR="00202442">
        <w:rPr>
          <w:rFonts w:ascii="Times New Roman" w:hAnsi="Times New Roman" w:cs="Times New Roman"/>
          <w:sz w:val="24"/>
          <w:szCs w:val="24"/>
          <w:lang w:val="sq-AL"/>
        </w:rPr>
        <w:t>parashikuara në</w:t>
      </w:r>
      <w:r w:rsidR="00202442" w:rsidRPr="00991BFE">
        <w:rPr>
          <w:rFonts w:ascii="Times New Roman" w:hAnsi="Times New Roman" w:cs="Times New Roman"/>
          <w:sz w:val="24"/>
          <w:szCs w:val="24"/>
          <w:lang w:val="sq-AL"/>
        </w:rPr>
        <w:t xml:space="preserve"> </w:t>
      </w:r>
      <w:r w:rsidR="00202442">
        <w:rPr>
          <w:rFonts w:ascii="Times New Roman" w:hAnsi="Times New Roman" w:cs="Times New Roman"/>
          <w:sz w:val="24"/>
          <w:szCs w:val="24"/>
          <w:lang w:val="sq-AL"/>
        </w:rPr>
        <w:t>projekt</w:t>
      </w:r>
      <w:r w:rsidR="00424ACE" w:rsidRPr="00991BFE">
        <w:rPr>
          <w:rFonts w:ascii="Times New Roman" w:hAnsi="Times New Roman" w:cs="Times New Roman"/>
          <w:sz w:val="24"/>
          <w:szCs w:val="24"/>
          <w:lang w:val="sq-AL"/>
        </w:rPr>
        <w:t>ligj, dispozitat ligjore në fuqi për sistemin e taksave vendore dhe ato për procedurat tatimore</w:t>
      </w:r>
      <w:r w:rsidR="00166C1B" w:rsidRPr="00991BFE">
        <w:rPr>
          <w:rFonts w:ascii="Times New Roman" w:hAnsi="Times New Roman" w:cs="Times New Roman"/>
          <w:sz w:val="24"/>
          <w:szCs w:val="24"/>
          <w:lang w:val="sq-AL"/>
        </w:rPr>
        <w:t xml:space="preserve">. </w:t>
      </w:r>
    </w:p>
    <w:p w14:paraId="22C0235B" w14:textId="63F0A163" w:rsidR="00865A45" w:rsidRPr="00991BFE" w:rsidRDefault="00166C1B"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Neni 3</w:t>
      </w:r>
      <w:r w:rsidR="00E3679B" w:rsidRPr="00991BFE">
        <w:rPr>
          <w:rFonts w:ascii="Times New Roman" w:hAnsi="Times New Roman" w:cs="Times New Roman"/>
          <w:b/>
          <w:sz w:val="24"/>
          <w:szCs w:val="24"/>
          <w:lang w:val="sq-AL"/>
        </w:rPr>
        <w:t>3</w:t>
      </w:r>
      <w:r w:rsidR="00D42DF3" w:rsidRPr="00991BFE">
        <w:rPr>
          <w:rFonts w:ascii="Times New Roman" w:hAnsi="Times New Roman" w:cs="Times New Roman"/>
          <w:b/>
          <w:sz w:val="24"/>
          <w:szCs w:val="24"/>
          <w:lang w:val="sq-AL"/>
        </w:rPr>
        <w:t xml:space="preserve"> deri n</w:t>
      </w:r>
      <w:r w:rsidR="00225608" w:rsidRPr="00991BFE">
        <w:rPr>
          <w:rFonts w:ascii="Times New Roman" w:hAnsi="Times New Roman" w:cs="Times New Roman"/>
          <w:b/>
          <w:sz w:val="24"/>
          <w:szCs w:val="24"/>
          <w:lang w:val="sq-AL"/>
        </w:rPr>
        <w:t>ë</w:t>
      </w:r>
      <w:r w:rsidRPr="00991BFE">
        <w:rPr>
          <w:rFonts w:ascii="Times New Roman" w:hAnsi="Times New Roman" w:cs="Times New Roman"/>
          <w:b/>
          <w:sz w:val="24"/>
          <w:szCs w:val="24"/>
          <w:lang w:val="sq-AL"/>
        </w:rPr>
        <w:t xml:space="preserve"> nenin </w:t>
      </w:r>
      <w:r w:rsidR="00150079" w:rsidRPr="00991BFE">
        <w:rPr>
          <w:rFonts w:ascii="Times New Roman" w:hAnsi="Times New Roman" w:cs="Times New Roman"/>
          <w:b/>
          <w:sz w:val="24"/>
          <w:szCs w:val="24"/>
          <w:lang w:val="sq-AL"/>
        </w:rPr>
        <w:t>3</w:t>
      </w:r>
      <w:r w:rsidR="00E3679B" w:rsidRPr="00991BFE">
        <w:rPr>
          <w:rFonts w:ascii="Times New Roman" w:hAnsi="Times New Roman" w:cs="Times New Roman"/>
          <w:b/>
          <w:sz w:val="24"/>
          <w:szCs w:val="24"/>
          <w:lang w:val="sq-AL"/>
        </w:rPr>
        <w:t>6</w:t>
      </w:r>
      <w:r w:rsidR="00D42DF3" w:rsidRPr="00991BFE">
        <w:rPr>
          <w:rFonts w:ascii="Times New Roman" w:hAnsi="Times New Roman" w:cs="Times New Roman"/>
          <w:sz w:val="24"/>
          <w:szCs w:val="24"/>
          <w:lang w:val="sq-AL"/>
        </w:rPr>
        <w:t xml:space="preserve"> p</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r</w:t>
      </w:r>
      <w:r w:rsidR="00827146" w:rsidRPr="00991BFE">
        <w:rPr>
          <w:rFonts w:ascii="Times New Roman" w:hAnsi="Times New Roman" w:cs="Times New Roman"/>
          <w:sz w:val="24"/>
          <w:szCs w:val="24"/>
          <w:lang w:val="sq-AL"/>
        </w:rPr>
        <w:t>m</w:t>
      </w:r>
      <w:r w:rsidR="00D42DF3" w:rsidRPr="00991BFE">
        <w:rPr>
          <w:rFonts w:ascii="Times New Roman" w:hAnsi="Times New Roman" w:cs="Times New Roman"/>
          <w:sz w:val="24"/>
          <w:szCs w:val="24"/>
          <w:lang w:val="sq-AL"/>
        </w:rPr>
        <w:t>bajn</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rregullat q</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do t</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p</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rdoren p</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r administrimin taksës mbi</w:t>
      </w:r>
      <w:r w:rsidRPr="00991BFE">
        <w:rPr>
          <w:rFonts w:ascii="Times New Roman" w:hAnsi="Times New Roman" w:cs="Times New Roman"/>
          <w:sz w:val="24"/>
          <w:szCs w:val="24"/>
          <w:lang w:val="sq-AL"/>
        </w:rPr>
        <w:t xml:space="preserve"> nd</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rtesat, dhe taksave mbi</w:t>
      </w:r>
      <w:r w:rsidR="00D42DF3" w:rsidRPr="00991BFE">
        <w:rPr>
          <w:rFonts w:ascii="Times New Roman" w:hAnsi="Times New Roman" w:cs="Times New Roman"/>
          <w:sz w:val="24"/>
          <w:szCs w:val="24"/>
          <w:lang w:val="sq-AL"/>
        </w:rPr>
        <w:t xml:space="preserve"> tokë</w:t>
      </w:r>
      <w:r w:rsidRPr="00991BFE">
        <w:rPr>
          <w:rFonts w:ascii="Times New Roman" w:hAnsi="Times New Roman" w:cs="Times New Roman"/>
          <w:sz w:val="24"/>
          <w:szCs w:val="24"/>
          <w:lang w:val="sq-AL"/>
        </w:rPr>
        <w:t>n</w:t>
      </w:r>
      <w:r w:rsidR="00D42DF3" w:rsidRPr="00991BFE">
        <w:rPr>
          <w:rFonts w:ascii="Times New Roman" w:hAnsi="Times New Roman" w:cs="Times New Roman"/>
          <w:sz w:val="24"/>
          <w:szCs w:val="24"/>
          <w:lang w:val="sq-AL"/>
        </w:rPr>
        <w:t xml:space="preserve"> bujqësore dhe truall</w:t>
      </w:r>
      <w:r w:rsidRPr="00991BFE">
        <w:rPr>
          <w:rFonts w:ascii="Times New Roman" w:hAnsi="Times New Roman" w:cs="Times New Roman"/>
          <w:sz w:val="24"/>
          <w:szCs w:val="24"/>
          <w:lang w:val="sq-AL"/>
        </w:rPr>
        <w:t>in</w:t>
      </w:r>
      <w:r w:rsidR="00D42DF3" w:rsidRPr="00991BFE">
        <w:rPr>
          <w:rFonts w:ascii="Times New Roman" w:hAnsi="Times New Roman" w:cs="Times New Roman"/>
          <w:sz w:val="24"/>
          <w:szCs w:val="24"/>
          <w:lang w:val="sq-AL"/>
        </w:rPr>
        <w:t>. Nenet e sip</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rcituara jan</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dispozita kalimtare t</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cilat do t</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rregullojn</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taks</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 mbi nd</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rtes</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 truallin dhe tok</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n bujq</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sore, </w:t>
      </w:r>
      <w:r w:rsidR="00D42DF3" w:rsidRPr="00991BFE">
        <w:rPr>
          <w:rFonts w:ascii="Times New Roman" w:hAnsi="Times New Roman" w:cs="Times New Roman"/>
          <w:sz w:val="24"/>
          <w:szCs w:val="24"/>
          <w:lang w:val="sq-AL"/>
        </w:rPr>
        <w:t>vet</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m p</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r nj</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periudh</w:t>
      </w:r>
      <w:r w:rsidR="00225608"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t</w:t>
      </w:r>
      <w:r w:rsidR="007058A6" w:rsidRPr="00991BFE">
        <w:rPr>
          <w:rFonts w:ascii="Times New Roman" w:hAnsi="Times New Roman" w:cs="Times New Roman"/>
          <w:sz w:val="24"/>
          <w:szCs w:val="24"/>
          <w:lang w:val="sq-AL"/>
        </w:rPr>
        <w:t>r</w:t>
      </w:r>
      <w:r w:rsidRPr="00991BFE">
        <w:rPr>
          <w:rFonts w:ascii="Times New Roman" w:hAnsi="Times New Roman" w:cs="Times New Roman"/>
          <w:sz w:val="24"/>
          <w:szCs w:val="24"/>
          <w:lang w:val="sq-AL"/>
        </w:rPr>
        <w:t>anzitore</w:t>
      </w:r>
      <w:r w:rsidR="00827146" w:rsidRPr="00991BFE">
        <w:rPr>
          <w:rFonts w:ascii="Times New Roman" w:hAnsi="Times New Roman" w:cs="Times New Roman"/>
          <w:sz w:val="24"/>
          <w:szCs w:val="24"/>
          <w:lang w:val="sq-AL"/>
        </w:rPr>
        <w:t>,</w:t>
      </w:r>
      <w:r w:rsidR="00D42DF3" w:rsidRPr="00991BFE">
        <w:rPr>
          <w:rFonts w:ascii="Times New Roman" w:hAnsi="Times New Roman" w:cs="Times New Roman"/>
          <w:sz w:val="24"/>
          <w:szCs w:val="24"/>
          <w:lang w:val="sq-AL"/>
        </w:rPr>
        <w:t xml:space="preserve"> deri m</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momentin e kalimit n</w:t>
      </w:r>
      <w:r w:rsidR="00225608" w:rsidRPr="00991BFE">
        <w:rPr>
          <w:rFonts w:ascii="Times New Roman" w:hAnsi="Times New Roman" w:cs="Times New Roman"/>
          <w:sz w:val="24"/>
          <w:szCs w:val="24"/>
          <w:lang w:val="sq-AL"/>
        </w:rPr>
        <w:t>ë</w:t>
      </w:r>
      <w:r w:rsidR="008F36C7" w:rsidRPr="00991BFE">
        <w:rPr>
          <w:rFonts w:ascii="Times New Roman" w:hAnsi="Times New Roman" w:cs="Times New Roman"/>
          <w:sz w:val="24"/>
          <w:szCs w:val="24"/>
          <w:lang w:val="sq-AL"/>
        </w:rPr>
        <w:t xml:space="preserve"> </w:t>
      </w:r>
      <w:r w:rsidR="00D42DF3" w:rsidRPr="00991BFE">
        <w:rPr>
          <w:rFonts w:ascii="Times New Roman" w:hAnsi="Times New Roman" w:cs="Times New Roman"/>
          <w:sz w:val="24"/>
          <w:szCs w:val="24"/>
          <w:lang w:val="sq-AL"/>
        </w:rPr>
        <w:t>sistem</w:t>
      </w:r>
      <w:r w:rsidR="004F2D21" w:rsidRPr="00991BFE">
        <w:rPr>
          <w:rFonts w:ascii="Times New Roman" w:hAnsi="Times New Roman" w:cs="Times New Roman"/>
          <w:sz w:val="24"/>
          <w:szCs w:val="24"/>
          <w:lang w:val="sq-AL"/>
        </w:rPr>
        <w:t>in e ri të</w:t>
      </w:r>
      <w:r w:rsidR="00D42DF3" w:rsidRPr="00991BFE">
        <w:rPr>
          <w:rFonts w:ascii="Times New Roman" w:hAnsi="Times New Roman" w:cs="Times New Roman"/>
          <w:sz w:val="24"/>
          <w:szCs w:val="24"/>
          <w:lang w:val="sq-AL"/>
        </w:rPr>
        <w:t xml:space="preserve"> taksimi</w:t>
      </w:r>
      <w:r w:rsidR="008F36C7" w:rsidRPr="00991BFE">
        <w:rPr>
          <w:rFonts w:ascii="Times New Roman" w:hAnsi="Times New Roman" w:cs="Times New Roman"/>
          <w:sz w:val="24"/>
          <w:szCs w:val="24"/>
          <w:lang w:val="sq-AL"/>
        </w:rPr>
        <w:t>t</w:t>
      </w:r>
      <w:r w:rsidR="00D42DF3" w:rsidRPr="00991BFE">
        <w:rPr>
          <w:rFonts w:ascii="Times New Roman" w:hAnsi="Times New Roman" w:cs="Times New Roman"/>
          <w:sz w:val="24"/>
          <w:szCs w:val="24"/>
          <w:lang w:val="sq-AL"/>
        </w:rPr>
        <w:t xml:space="preserve"> t</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bazuar n</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 xml:space="preserve"> vler</w:t>
      </w:r>
      <w:r w:rsidR="00225608" w:rsidRPr="00991BFE">
        <w:rPr>
          <w:rFonts w:ascii="Times New Roman" w:hAnsi="Times New Roman" w:cs="Times New Roman"/>
          <w:sz w:val="24"/>
          <w:szCs w:val="24"/>
          <w:lang w:val="sq-AL"/>
        </w:rPr>
        <w:t>ë</w:t>
      </w:r>
      <w:r w:rsidR="00D42DF3" w:rsidRPr="00991BFE">
        <w:rPr>
          <w:rFonts w:ascii="Times New Roman" w:hAnsi="Times New Roman" w:cs="Times New Roman"/>
          <w:sz w:val="24"/>
          <w:szCs w:val="24"/>
          <w:lang w:val="sq-AL"/>
        </w:rPr>
        <w:t>n e tregut.</w:t>
      </w:r>
    </w:p>
    <w:p w14:paraId="40192583" w14:textId="53830D02" w:rsidR="00351CBA" w:rsidRPr="00991BFE" w:rsidRDefault="00B97E50"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Nen</w:t>
      </w:r>
      <w:r w:rsidR="00166C1B" w:rsidRPr="00991BFE">
        <w:rPr>
          <w:rFonts w:ascii="Times New Roman" w:hAnsi="Times New Roman" w:cs="Times New Roman"/>
          <w:b/>
          <w:sz w:val="24"/>
          <w:szCs w:val="24"/>
          <w:lang w:val="sq-AL"/>
        </w:rPr>
        <w:t xml:space="preserve">i </w:t>
      </w:r>
      <w:r w:rsidR="00E3679B" w:rsidRPr="00991BFE">
        <w:rPr>
          <w:rFonts w:ascii="Times New Roman" w:hAnsi="Times New Roman" w:cs="Times New Roman"/>
          <w:b/>
          <w:sz w:val="24"/>
          <w:szCs w:val="24"/>
          <w:lang w:val="sq-AL"/>
        </w:rPr>
        <w:t>37</w:t>
      </w:r>
      <w:r w:rsidR="00D46A07" w:rsidRPr="00991BFE">
        <w:rPr>
          <w:rFonts w:ascii="Times New Roman" w:hAnsi="Times New Roman" w:cs="Times New Roman"/>
          <w:b/>
          <w:sz w:val="24"/>
          <w:szCs w:val="24"/>
          <w:lang w:val="sq-AL"/>
        </w:rPr>
        <w:t>,</w:t>
      </w:r>
      <w:r w:rsidR="00351CBA" w:rsidRPr="00991BFE">
        <w:rPr>
          <w:rFonts w:ascii="Times New Roman" w:hAnsi="Times New Roman" w:cs="Times New Roman"/>
          <w:sz w:val="24"/>
          <w:szCs w:val="24"/>
          <w:lang w:val="sq-AL"/>
        </w:rPr>
        <w:t xml:space="preserve"> p</w:t>
      </w:r>
      <w:r w:rsidR="00956E4E" w:rsidRPr="00991BFE">
        <w:rPr>
          <w:rFonts w:ascii="Times New Roman" w:hAnsi="Times New Roman" w:cs="Times New Roman"/>
          <w:sz w:val="24"/>
          <w:szCs w:val="24"/>
          <w:lang w:val="sq-AL"/>
        </w:rPr>
        <w:t>ë</w:t>
      </w:r>
      <w:r w:rsidR="00351CBA" w:rsidRPr="00991BFE">
        <w:rPr>
          <w:rFonts w:ascii="Times New Roman" w:hAnsi="Times New Roman" w:cs="Times New Roman"/>
          <w:sz w:val="24"/>
          <w:szCs w:val="24"/>
          <w:lang w:val="sq-AL"/>
        </w:rPr>
        <w:t>rcakton se si do t</w:t>
      </w:r>
      <w:r w:rsidR="00956E4E" w:rsidRPr="00991BFE">
        <w:rPr>
          <w:rFonts w:ascii="Times New Roman" w:hAnsi="Times New Roman" w:cs="Times New Roman"/>
          <w:sz w:val="24"/>
          <w:szCs w:val="24"/>
          <w:lang w:val="sq-AL"/>
        </w:rPr>
        <w:t>ë</w:t>
      </w:r>
      <w:r w:rsidR="00351CBA" w:rsidRPr="00991BFE">
        <w:rPr>
          <w:rFonts w:ascii="Times New Roman" w:hAnsi="Times New Roman" w:cs="Times New Roman"/>
          <w:sz w:val="24"/>
          <w:szCs w:val="24"/>
          <w:lang w:val="sq-AL"/>
        </w:rPr>
        <w:t xml:space="preserve"> trajtohen ankesat dhe si do t</w:t>
      </w:r>
      <w:r w:rsidR="00956E4E" w:rsidRPr="00991BFE">
        <w:rPr>
          <w:rFonts w:ascii="Times New Roman" w:hAnsi="Times New Roman" w:cs="Times New Roman"/>
          <w:sz w:val="24"/>
          <w:szCs w:val="24"/>
          <w:lang w:val="sq-AL"/>
        </w:rPr>
        <w:t>ë</w:t>
      </w:r>
      <w:r w:rsidR="00351CBA" w:rsidRPr="00991BFE">
        <w:rPr>
          <w:rFonts w:ascii="Times New Roman" w:hAnsi="Times New Roman" w:cs="Times New Roman"/>
          <w:sz w:val="24"/>
          <w:szCs w:val="24"/>
          <w:lang w:val="sq-AL"/>
        </w:rPr>
        <w:t xml:space="preserve"> mblidhen</w:t>
      </w:r>
      <w:r w:rsidR="00EB238D" w:rsidRPr="00991BFE">
        <w:rPr>
          <w:rFonts w:ascii="Times New Roman" w:hAnsi="Times New Roman" w:cs="Times New Roman"/>
          <w:sz w:val="24"/>
          <w:szCs w:val="24"/>
          <w:lang w:val="sq-AL"/>
        </w:rPr>
        <w:t xml:space="preserve"> </w:t>
      </w:r>
      <w:r w:rsidR="00351CBA" w:rsidRPr="00991BFE">
        <w:rPr>
          <w:rFonts w:ascii="Times New Roman" w:hAnsi="Times New Roman" w:cs="Times New Roman"/>
          <w:sz w:val="24"/>
          <w:szCs w:val="24"/>
          <w:lang w:val="sq-AL"/>
        </w:rPr>
        <w:t>detyrimet tatimore që kanë lidhje me legjislacionin e mëparshëm</w:t>
      </w:r>
      <w:r w:rsidR="00117EEF" w:rsidRPr="00991BFE">
        <w:rPr>
          <w:rFonts w:ascii="Times New Roman" w:hAnsi="Times New Roman" w:cs="Times New Roman"/>
          <w:sz w:val="24"/>
          <w:szCs w:val="24"/>
          <w:lang w:val="sq-AL"/>
        </w:rPr>
        <w:t>.</w:t>
      </w:r>
    </w:p>
    <w:p w14:paraId="1FC0E90F" w14:textId="66F1EA9A" w:rsidR="001F4A7F" w:rsidRPr="00991BFE" w:rsidRDefault="00E3679B" w:rsidP="00E6503C">
      <w:pPr>
        <w:spacing w:line="276" w:lineRule="auto"/>
        <w:jc w:val="both"/>
        <w:rPr>
          <w:rFonts w:ascii="Times New Roman" w:hAnsi="Times New Roman" w:cs="Times New Roman"/>
          <w:b/>
          <w:sz w:val="24"/>
          <w:szCs w:val="24"/>
          <w:lang w:val="sq-AL"/>
        </w:rPr>
      </w:pPr>
      <w:r w:rsidRPr="00991BFE">
        <w:rPr>
          <w:rFonts w:ascii="Times New Roman" w:hAnsi="Times New Roman" w:cs="Times New Roman"/>
          <w:b/>
          <w:sz w:val="24"/>
          <w:szCs w:val="24"/>
          <w:lang w:val="sq-AL"/>
        </w:rPr>
        <w:t>Neni 38</w:t>
      </w:r>
      <w:r w:rsidR="001F4A7F" w:rsidRPr="00991BFE">
        <w:rPr>
          <w:rFonts w:ascii="Times New Roman" w:hAnsi="Times New Roman" w:cs="Times New Roman"/>
          <w:b/>
          <w:sz w:val="24"/>
          <w:szCs w:val="24"/>
          <w:lang w:val="sq-AL"/>
        </w:rPr>
        <w:t xml:space="preserve">, </w:t>
      </w:r>
      <w:r w:rsidR="001F4A7F" w:rsidRPr="00991BFE">
        <w:rPr>
          <w:rFonts w:ascii="Times New Roman" w:hAnsi="Times New Roman" w:cs="Times New Roman"/>
          <w:sz w:val="24"/>
          <w:szCs w:val="24"/>
          <w:lang w:val="sq-AL"/>
        </w:rPr>
        <w:t>p</w:t>
      </w:r>
      <w:r w:rsidR="003663DB" w:rsidRPr="00991BFE">
        <w:rPr>
          <w:rFonts w:ascii="Times New Roman" w:hAnsi="Times New Roman" w:cs="Times New Roman"/>
          <w:sz w:val="24"/>
          <w:szCs w:val="24"/>
          <w:lang w:val="sq-AL"/>
        </w:rPr>
        <w:t>ë</w:t>
      </w:r>
      <w:r w:rsidR="001F4A7F" w:rsidRPr="00991BFE">
        <w:rPr>
          <w:rFonts w:ascii="Times New Roman" w:hAnsi="Times New Roman" w:cs="Times New Roman"/>
          <w:sz w:val="24"/>
          <w:szCs w:val="24"/>
          <w:lang w:val="sq-AL"/>
        </w:rPr>
        <w:t xml:space="preserve">rcakton </w:t>
      </w:r>
      <w:r w:rsidR="000908E9" w:rsidRPr="00991BFE">
        <w:rPr>
          <w:rFonts w:ascii="Times New Roman" w:hAnsi="Times New Roman" w:cs="Times New Roman"/>
          <w:sz w:val="24"/>
          <w:szCs w:val="24"/>
          <w:lang w:val="sq-AL"/>
        </w:rPr>
        <w:t>aktet nënligjore që duhet të nxirren, autoritetet kompetente dhe afatet për</w:t>
      </w:r>
      <w:r w:rsidR="00856875" w:rsidRPr="00991BFE">
        <w:rPr>
          <w:rFonts w:ascii="Times New Roman" w:hAnsi="Times New Roman" w:cs="Times New Roman"/>
          <w:sz w:val="24"/>
          <w:szCs w:val="24"/>
          <w:lang w:val="sq-AL"/>
        </w:rPr>
        <w:t xml:space="preserve"> nxjer</w:t>
      </w:r>
      <w:r w:rsidR="000908E9" w:rsidRPr="00991BFE">
        <w:rPr>
          <w:rFonts w:ascii="Times New Roman" w:hAnsi="Times New Roman" w:cs="Times New Roman"/>
          <w:sz w:val="24"/>
          <w:szCs w:val="24"/>
          <w:lang w:val="sq-AL"/>
        </w:rPr>
        <w:t>rjen e tyre.</w:t>
      </w:r>
    </w:p>
    <w:p w14:paraId="46B9AF74" w14:textId="32D59FF5" w:rsidR="00B97E50" w:rsidRPr="00991BFE" w:rsidRDefault="00166C1B"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b/>
          <w:sz w:val="24"/>
          <w:szCs w:val="24"/>
          <w:lang w:val="sq-AL"/>
        </w:rPr>
        <w:t xml:space="preserve">Neni </w:t>
      </w:r>
      <w:r w:rsidR="00E3679B" w:rsidRPr="00991BFE">
        <w:rPr>
          <w:rFonts w:ascii="Times New Roman" w:hAnsi="Times New Roman" w:cs="Times New Roman"/>
          <w:b/>
          <w:sz w:val="24"/>
          <w:szCs w:val="24"/>
          <w:lang w:val="sq-AL"/>
        </w:rPr>
        <w:t>39</w:t>
      </w:r>
      <w:r w:rsidR="00B97E50" w:rsidRPr="00991BFE">
        <w:rPr>
          <w:rFonts w:ascii="Times New Roman" w:hAnsi="Times New Roman" w:cs="Times New Roman"/>
          <w:b/>
          <w:sz w:val="24"/>
          <w:szCs w:val="24"/>
          <w:lang w:val="sq-AL"/>
        </w:rPr>
        <w:t>,</w:t>
      </w:r>
      <w:r w:rsidR="00156E9B" w:rsidRPr="00991BFE">
        <w:rPr>
          <w:rFonts w:ascii="Times New Roman" w:hAnsi="Times New Roman" w:cs="Times New Roman"/>
          <w:b/>
          <w:sz w:val="24"/>
          <w:szCs w:val="24"/>
          <w:lang w:val="sq-AL"/>
        </w:rPr>
        <w:t xml:space="preserve"> </w:t>
      </w:r>
      <w:r w:rsidR="00B97E50" w:rsidRPr="00991BFE">
        <w:rPr>
          <w:rFonts w:ascii="Times New Roman" w:hAnsi="Times New Roman" w:cs="Times New Roman"/>
          <w:sz w:val="24"/>
          <w:szCs w:val="24"/>
          <w:lang w:val="sq-AL"/>
        </w:rPr>
        <w:t>p</w:t>
      </w:r>
      <w:r w:rsidR="00225608" w:rsidRPr="00991BFE">
        <w:rPr>
          <w:rFonts w:ascii="Times New Roman" w:hAnsi="Times New Roman" w:cs="Times New Roman"/>
          <w:sz w:val="24"/>
          <w:szCs w:val="24"/>
          <w:lang w:val="sq-AL"/>
        </w:rPr>
        <w:t>ë</w:t>
      </w:r>
      <w:r w:rsidR="00B97E50" w:rsidRPr="00991BFE">
        <w:rPr>
          <w:rFonts w:ascii="Times New Roman" w:hAnsi="Times New Roman" w:cs="Times New Roman"/>
          <w:sz w:val="24"/>
          <w:szCs w:val="24"/>
          <w:lang w:val="sq-AL"/>
        </w:rPr>
        <w:t xml:space="preserve">rcakton </w:t>
      </w:r>
      <w:r w:rsidR="000908E9" w:rsidRPr="00991BFE">
        <w:rPr>
          <w:rFonts w:ascii="Times New Roman" w:hAnsi="Times New Roman" w:cs="Times New Roman"/>
          <w:sz w:val="24"/>
          <w:szCs w:val="24"/>
          <w:lang w:val="sq-AL"/>
        </w:rPr>
        <w:t xml:space="preserve">shfuqizimet dhe </w:t>
      </w:r>
      <w:r w:rsidR="00B97E50" w:rsidRPr="00991BFE">
        <w:rPr>
          <w:rFonts w:ascii="Times New Roman" w:hAnsi="Times New Roman" w:cs="Times New Roman"/>
          <w:sz w:val="24"/>
          <w:szCs w:val="24"/>
          <w:lang w:val="sq-AL"/>
        </w:rPr>
        <w:t>ndryshimet q</w:t>
      </w:r>
      <w:r w:rsidR="00225608" w:rsidRPr="00991BFE">
        <w:rPr>
          <w:rFonts w:ascii="Times New Roman" w:hAnsi="Times New Roman" w:cs="Times New Roman"/>
          <w:sz w:val="24"/>
          <w:szCs w:val="24"/>
          <w:lang w:val="sq-AL"/>
        </w:rPr>
        <w:t>ë</w:t>
      </w:r>
      <w:r w:rsidR="00B97E50" w:rsidRPr="00991BFE">
        <w:rPr>
          <w:rFonts w:ascii="Times New Roman" w:hAnsi="Times New Roman" w:cs="Times New Roman"/>
          <w:sz w:val="24"/>
          <w:szCs w:val="24"/>
          <w:lang w:val="sq-AL"/>
        </w:rPr>
        <w:t xml:space="preserve"> i b</w:t>
      </w:r>
      <w:r w:rsidR="00225608" w:rsidRPr="00991BFE">
        <w:rPr>
          <w:rFonts w:ascii="Times New Roman" w:hAnsi="Times New Roman" w:cs="Times New Roman"/>
          <w:sz w:val="24"/>
          <w:szCs w:val="24"/>
          <w:lang w:val="sq-AL"/>
        </w:rPr>
        <w:t>ë</w:t>
      </w:r>
      <w:r w:rsidR="00B97E50" w:rsidRPr="00991BFE">
        <w:rPr>
          <w:rFonts w:ascii="Times New Roman" w:hAnsi="Times New Roman" w:cs="Times New Roman"/>
          <w:sz w:val="24"/>
          <w:szCs w:val="24"/>
          <w:lang w:val="sq-AL"/>
        </w:rPr>
        <w:t>hen ligjit Nr. 9632, datë 30.10.2006 "Për sistemin e taksave vendore", të ndryshuar</w:t>
      </w:r>
      <w:r w:rsidR="0086562F" w:rsidRPr="00991BFE">
        <w:rPr>
          <w:rFonts w:ascii="Times New Roman" w:hAnsi="Times New Roman" w:cs="Times New Roman"/>
          <w:sz w:val="24"/>
          <w:szCs w:val="24"/>
          <w:lang w:val="sq-AL"/>
        </w:rPr>
        <w:t>, si</w:t>
      </w:r>
      <w:r w:rsidR="000908E9" w:rsidRPr="00991BFE">
        <w:rPr>
          <w:rFonts w:ascii="Times New Roman" w:hAnsi="Times New Roman" w:cs="Times New Roman"/>
          <w:sz w:val="24"/>
          <w:szCs w:val="24"/>
          <w:lang w:val="sq-AL"/>
        </w:rPr>
        <w:t xml:space="preserve"> dhe </w:t>
      </w:r>
      <w:r w:rsidR="0086562F" w:rsidRPr="00991BFE">
        <w:rPr>
          <w:rFonts w:ascii="Times New Roman" w:hAnsi="Times New Roman" w:cs="Times New Roman"/>
          <w:sz w:val="24"/>
          <w:szCs w:val="24"/>
          <w:lang w:val="sq-AL"/>
        </w:rPr>
        <w:t xml:space="preserve">ndryshimin që i bëhet </w:t>
      </w:r>
      <w:r w:rsidR="000908E9" w:rsidRPr="00991BFE">
        <w:rPr>
          <w:rFonts w:ascii="Times New Roman" w:hAnsi="Times New Roman" w:cs="Times New Roman"/>
          <w:sz w:val="24"/>
          <w:szCs w:val="24"/>
          <w:lang w:val="sq-AL"/>
        </w:rPr>
        <w:t>ligjit Nr. 111/2018 “Për kadastrën”</w:t>
      </w:r>
      <w:r w:rsidR="00B97E50" w:rsidRPr="00991BFE">
        <w:rPr>
          <w:rFonts w:ascii="Times New Roman" w:hAnsi="Times New Roman" w:cs="Times New Roman"/>
          <w:sz w:val="24"/>
          <w:szCs w:val="24"/>
          <w:lang w:val="sq-AL"/>
        </w:rPr>
        <w:t>.</w:t>
      </w:r>
      <w:r w:rsidR="00E3679B" w:rsidRPr="00991BFE">
        <w:rPr>
          <w:rFonts w:ascii="Times New Roman" w:hAnsi="Times New Roman" w:cs="Times New Roman"/>
          <w:sz w:val="24"/>
          <w:szCs w:val="24"/>
          <w:lang w:val="sq-AL"/>
        </w:rPr>
        <w:t xml:space="preserve"> Gjithashtu, n</w:t>
      </w:r>
      <w:r w:rsidR="00BD351D" w:rsidRPr="00991BFE">
        <w:rPr>
          <w:rFonts w:ascii="Times New Roman" w:hAnsi="Times New Roman" w:cs="Times New Roman"/>
          <w:sz w:val="24"/>
          <w:szCs w:val="24"/>
          <w:lang w:val="sq-AL"/>
        </w:rPr>
        <w:t>ë</w:t>
      </w:r>
      <w:r w:rsidR="00E3679B" w:rsidRPr="00991BFE">
        <w:rPr>
          <w:rFonts w:ascii="Times New Roman" w:hAnsi="Times New Roman" w:cs="Times New Roman"/>
          <w:sz w:val="24"/>
          <w:szCs w:val="24"/>
          <w:lang w:val="sq-AL"/>
        </w:rPr>
        <w:t xml:space="preserve"> k</w:t>
      </w:r>
      <w:r w:rsidR="00BD351D" w:rsidRPr="00991BFE">
        <w:rPr>
          <w:rFonts w:ascii="Times New Roman" w:hAnsi="Times New Roman" w:cs="Times New Roman"/>
          <w:sz w:val="24"/>
          <w:szCs w:val="24"/>
          <w:lang w:val="sq-AL"/>
        </w:rPr>
        <w:t>ë</w:t>
      </w:r>
      <w:r w:rsidR="00E3679B" w:rsidRPr="00991BFE">
        <w:rPr>
          <w:rFonts w:ascii="Times New Roman" w:hAnsi="Times New Roman" w:cs="Times New Roman"/>
          <w:sz w:val="24"/>
          <w:szCs w:val="24"/>
          <w:lang w:val="sq-AL"/>
        </w:rPr>
        <w:t>t</w:t>
      </w:r>
      <w:r w:rsidR="00BD351D" w:rsidRPr="00991BFE">
        <w:rPr>
          <w:rFonts w:ascii="Times New Roman" w:hAnsi="Times New Roman" w:cs="Times New Roman"/>
          <w:sz w:val="24"/>
          <w:szCs w:val="24"/>
          <w:lang w:val="sq-AL"/>
        </w:rPr>
        <w:t>ë</w:t>
      </w:r>
      <w:r w:rsidR="00E3679B" w:rsidRPr="00991BFE">
        <w:rPr>
          <w:rFonts w:ascii="Times New Roman" w:hAnsi="Times New Roman" w:cs="Times New Roman"/>
          <w:sz w:val="24"/>
          <w:szCs w:val="24"/>
          <w:lang w:val="sq-AL"/>
        </w:rPr>
        <w:t xml:space="preserve"> nen parashikohet se aktet nënligjore të nxjerra në zbatim të dispozitave në pikën 1, të neni</w:t>
      </w:r>
      <w:r w:rsidR="00202442">
        <w:rPr>
          <w:rFonts w:ascii="Times New Roman" w:hAnsi="Times New Roman" w:cs="Times New Roman"/>
          <w:sz w:val="24"/>
          <w:szCs w:val="24"/>
          <w:lang w:val="sq-AL"/>
        </w:rPr>
        <w:t>t 39</w:t>
      </w:r>
      <w:r w:rsidR="00E3679B" w:rsidRPr="00991BFE">
        <w:rPr>
          <w:rFonts w:ascii="Times New Roman" w:hAnsi="Times New Roman" w:cs="Times New Roman"/>
          <w:sz w:val="24"/>
          <w:szCs w:val="24"/>
          <w:lang w:val="sq-AL"/>
        </w:rPr>
        <w:t xml:space="preserve"> qëndrojnë në fuqi dhe zbatohen, për aq sa nuk bien ndesh me parashikimet e  </w:t>
      </w:r>
      <w:r w:rsidR="00202442">
        <w:rPr>
          <w:rFonts w:ascii="Times New Roman" w:hAnsi="Times New Roman" w:cs="Times New Roman"/>
          <w:sz w:val="24"/>
          <w:szCs w:val="24"/>
          <w:lang w:val="sq-AL"/>
        </w:rPr>
        <w:t>e projekt</w:t>
      </w:r>
      <w:r w:rsidR="00E3679B" w:rsidRPr="00991BFE">
        <w:rPr>
          <w:rFonts w:ascii="Times New Roman" w:hAnsi="Times New Roman" w:cs="Times New Roman"/>
          <w:sz w:val="24"/>
          <w:szCs w:val="24"/>
          <w:lang w:val="sq-AL"/>
        </w:rPr>
        <w:t>ligji</w:t>
      </w:r>
      <w:r w:rsidR="00202442">
        <w:rPr>
          <w:rFonts w:ascii="Times New Roman" w:hAnsi="Times New Roman" w:cs="Times New Roman"/>
          <w:sz w:val="24"/>
          <w:szCs w:val="24"/>
          <w:lang w:val="sq-AL"/>
        </w:rPr>
        <w:t>t</w:t>
      </w:r>
      <w:r w:rsidR="00E3679B" w:rsidRPr="00991BFE">
        <w:rPr>
          <w:rFonts w:ascii="Times New Roman" w:hAnsi="Times New Roman" w:cs="Times New Roman"/>
          <w:sz w:val="24"/>
          <w:szCs w:val="24"/>
          <w:lang w:val="sq-AL"/>
        </w:rPr>
        <w:t>, deri në hyrjen në fuqi të akteve të reja nënligjore</w:t>
      </w:r>
    </w:p>
    <w:p w14:paraId="5C8CC829" w14:textId="473E7E89" w:rsidR="001F4A7F" w:rsidRPr="00991BFE" w:rsidRDefault="00166C1B" w:rsidP="00E6503C">
      <w:pPr>
        <w:spacing w:line="276" w:lineRule="auto"/>
        <w:jc w:val="both"/>
        <w:rPr>
          <w:rFonts w:ascii="Times New Roman" w:hAnsi="Times New Roman" w:cs="Times New Roman"/>
          <w:b/>
          <w:sz w:val="24"/>
          <w:szCs w:val="24"/>
          <w:lang w:val="sq-AL"/>
        </w:rPr>
      </w:pPr>
      <w:r w:rsidRPr="00991BFE">
        <w:rPr>
          <w:rFonts w:ascii="Times New Roman" w:hAnsi="Times New Roman" w:cs="Times New Roman"/>
          <w:b/>
          <w:sz w:val="24"/>
          <w:szCs w:val="24"/>
          <w:lang w:val="sq-AL"/>
        </w:rPr>
        <w:t>Neni 4</w:t>
      </w:r>
      <w:r w:rsidR="00167888" w:rsidRPr="00991BFE">
        <w:rPr>
          <w:rFonts w:ascii="Times New Roman" w:hAnsi="Times New Roman" w:cs="Times New Roman"/>
          <w:b/>
          <w:sz w:val="24"/>
          <w:szCs w:val="24"/>
          <w:lang w:val="sq-AL"/>
        </w:rPr>
        <w:t>0</w:t>
      </w:r>
      <w:r w:rsidR="001F4A7F" w:rsidRPr="00991BFE">
        <w:rPr>
          <w:rFonts w:ascii="Times New Roman" w:hAnsi="Times New Roman" w:cs="Times New Roman"/>
          <w:b/>
          <w:sz w:val="24"/>
          <w:szCs w:val="24"/>
          <w:lang w:val="sq-AL"/>
        </w:rPr>
        <w:t xml:space="preserve">, </w:t>
      </w:r>
      <w:r w:rsidR="001F4A7F" w:rsidRPr="00991BFE">
        <w:rPr>
          <w:rFonts w:ascii="Times New Roman" w:hAnsi="Times New Roman" w:cs="Times New Roman"/>
          <w:sz w:val="24"/>
          <w:szCs w:val="24"/>
          <w:lang w:val="sq-AL"/>
        </w:rPr>
        <w:t>p</w:t>
      </w:r>
      <w:r w:rsidR="003663DB"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rcakton hyrjen</w:t>
      </w:r>
      <w:r w:rsidR="001F4A7F" w:rsidRPr="00991BFE">
        <w:rPr>
          <w:rFonts w:ascii="Times New Roman" w:hAnsi="Times New Roman" w:cs="Times New Roman"/>
          <w:sz w:val="24"/>
          <w:szCs w:val="24"/>
          <w:lang w:val="sq-AL"/>
        </w:rPr>
        <w:t xml:space="preserve"> n</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1F4A7F" w:rsidRPr="00991BFE">
        <w:rPr>
          <w:rFonts w:ascii="Times New Roman" w:hAnsi="Times New Roman" w:cs="Times New Roman"/>
          <w:sz w:val="24"/>
          <w:szCs w:val="24"/>
          <w:lang w:val="sq-AL"/>
        </w:rPr>
        <w:t>fuqi t</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1F4A7F" w:rsidRPr="00991BFE">
        <w:rPr>
          <w:rFonts w:ascii="Times New Roman" w:hAnsi="Times New Roman" w:cs="Times New Roman"/>
          <w:sz w:val="24"/>
          <w:szCs w:val="24"/>
          <w:lang w:val="sq-AL"/>
        </w:rPr>
        <w:t>ligjit.</w:t>
      </w:r>
      <w:r w:rsidR="001F4A7F" w:rsidRPr="00991BFE">
        <w:rPr>
          <w:rFonts w:ascii="Times New Roman" w:hAnsi="Times New Roman" w:cs="Times New Roman"/>
          <w:b/>
          <w:sz w:val="24"/>
          <w:szCs w:val="24"/>
          <w:lang w:val="sq-AL"/>
        </w:rPr>
        <w:t xml:space="preserve"> </w:t>
      </w:r>
    </w:p>
    <w:p w14:paraId="1FE7B0A0" w14:textId="77777777" w:rsidR="004F2D21" w:rsidRPr="00991BFE" w:rsidRDefault="004F2D21" w:rsidP="004F2D21">
      <w:pPr>
        <w:pStyle w:val="Heading2"/>
        <w:spacing w:line="276" w:lineRule="auto"/>
        <w:ind w:left="288"/>
        <w:jc w:val="both"/>
        <w:rPr>
          <w:rFonts w:ascii="Times New Roman" w:hAnsi="Times New Roman" w:cs="Times New Roman"/>
          <w:b/>
          <w:color w:val="auto"/>
          <w:sz w:val="24"/>
          <w:szCs w:val="24"/>
          <w:lang w:val="sq-AL"/>
        </w:rPr>
      </w:pPr>
    </w:p>
    <w:p w14:paraId="166FBAE7" w14:textId="77777777" w:rsidR="004F2D21" w:rsidRPr="00991BFE" w:rsidRDefault="001E60C3" w:rsidP="004F2D21">
      <w:pPr>
        <w:pStyle w:val="Heading2"/>
        <w:numPr>
          <w:ilvl w:val="0"/>
          <w:numId w:val="12"/>
        </w:numPr>
        <w:spacing w:line="276" w:lineRule="auto"/>
        <w:jc w:val="both"/>
        <w:rPr>
          <w:rFonts w:ascii="Times New Roman" w:hAnsi="Times New Roman" w:cs="Times New Roman"/>
          <w:b/>
          <w:color w:val="auto"/>
          <w:sz w:val="24"/>
          <w:szCs w:val="24"/>
          <w:lang w:val="sq-AL"/>
        </w:rPr>
      </w:pPr>
      <w:r w:rsidRPr="00991BFE">
        <w:rPr>
          <w:rFonts w:ascii="Times New Roman" w:hAnsi="Times New Roman" w:cs="Times New Roman"/>
          <w:b/>
          <w:color w:val="auto"/>
          <w:sz w:val="24"/>
          <w:szCs w:val="24"/>
          <w:lang w:val="sq-AL"/>
        </w:rPr>
        <w:t>INSTITUCIONET DHE ORGANET QË NGARKOHEN PËR ZBATIMIN E KËTIJ PROJEKT AKTI</w:t>
      </w:r>
    </w:p>
    <w:p w14:paraId="5761DC0D" w14:textId="77777777" w:rsidR="004F2D21" w:rsidRPr="00991BFE" w:rsidRDefault="004F2D21" w:rsidP="004F2D21">
      <w:pPr>
        <w:rPr>
          <w:rFonts w:ascii="Times New Roman" w:hAnsi="Times New Roman" w:cs="Times New Roman"/>
          <w:sz w:val="24"/>
          <w:szCs w:val="24"/>
          <w:lang w:val="sq-AL"/>
        </w:rPr>
      </w:pPr>
    </w:p>
    <w:p w14:paraId="6043B809" w14:textId="77777777" w:rsidR="004B422B" w:rsidRPr="00991BFE" w:rsidRDefault="001E60C3" w:rsidP="006A7A53">
      <w:pPr>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Për zbatimin e këtij projektligji ngarkohen </w:t>
      </w:r>
      <w:r w:rsidR="0095721C" w:rsidRPr="00991BFE">
        <w:rPr>
          <w:rFonts w:ascii="Times New Roman" w:hAnsi="Times New Roman" w:cs="Times New Roman"/>
          <w:sz w:val="24"/>
          <w:szCs w:val="24"/>
          <w:lang w:val="sq-AL"/>
        </w:rPr>
        <w:t>Drejtoria e P</w:t>
      </w:r>
      <w:r w:rsidR="003663DB" w:rsidRPr="00991BFE">
        <w:rPr>
          <w:rFonts w:ascii="Times New Roman" w:hAnsi="Times New Roman" w:cs="Times New Roman"/>
          <w:sz w:val="24"/>
          <w:szCs w:val="24"/>
          <w:lang w:val="sq-AL"/>
        </w:rPr>
        <w:t>ë</w:t>
      </w:r>
      <w:r w:rsidR="0095721C" w:rsidRPr="00991BFE">
        <w:rPr>
          <w:rFonts w:ascii="Times New Roman" w:hAnsi="Times New Roman" w:cs="Times New Roman"/>
          <w:sz w:val="24"/>
          <w:szCs w:val="24"/>
          <w:lang w:val="sq-AL"/>
        </w:rPr>
        <w:t>rgjithshme</w:t>
      </w:r>
      <w:r w:rsidR="00156E9B"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e Taks</w:t>
      </w:r>
      <w:r w:rsidR="003663DB" w:rsidRPr="00991BFE">
        <w:rPr>
          <w:rFonts w:ascii="Times New Roman" w:hAnsi="Times New Roman" w:cs="Times New Roman"/>
          <w:sz w:val="24"/>
          <w:szCs w:val="24"/>
          <w:lang w:val="sq-AL"/>
        </w:rPr>
        <w:t>ë</w:t>
      </w:r>
      <w:r w:rsidR="0095721C" w:rsidRPr="00991BFE">
        <w:rPr>
          <w:rFonts w:ascii="Times New Roman" w:hAnsi="Times New Roman" w:cs="Times New Roman"/>
          <w:sz w:val="24"/>
          <w:szCs w:val="24"/>
          <w:lang w:val="sq-AL"/>
        </w:rPr>
        <w:t>s s</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Pasuris</w:t>
      </w:r>
      <w:r w:rsidR="003663DB" w:rsidRPr="00991BFE">
        <w:rPr>
          <w:rFonts w:ascii="Times New Roman" w:hAnsi="Times New Roman" w:cs="Times New Roman"/>
          <w:sz w:val="24"/>
          <w:szCs w:val="24"/>
          <w:lang w:val="sq-AL"/>
        </w:rPr>
        <w:t>ë</w:t>
      </w:r>
      <w:r w:rsidR="00827146" w:rsidRPr="00991BFE">
        <w:rPr>
          <w:rFonts w:ascii="Times New Roman" w:hAnsi="Times New Roman" w:cs="Times New Roman"/>
          <w:sz w:val="24"/>
          <w:szCs w:val="24"/>
          <w:lang w:val="sq-AL"/>
        </w:rPr>
        <w:t>, b</w:t>
      </w:r>
      <w:r w:rsidR="0095721C" w:rsidRPr="00991BFE">
        <w:rPr>
          <w:rFonts w:ascii="Times New Roman" w:hAnsi="Times New Roman" w:cs="Times New Roman"/>
          <w:sz w:val="24"/>
          <w:szCs w:val="24"/>
          <w:lang w:val="sq-AL"/>
        </w:rPr>
        <w:t>ashkit</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dhe t</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gjith</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institucionet dhe organet e tjera q</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detyrohen t</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zbatojn</w:t>
      </w:r>
      <w:r w:rsidR="00B04D89" w:rsidRPr="00991BFE">
        <w:rPr>
          <w:rFonts w:ascii="Times New Roman" w:hAnsi="Times New Roman" w:cs="Times New Roman"/>
          <w:sz w:val="24"/>
          <w:szCs w:val="24"/>
          <w:lang w:val="sq-AL"/>
        </w:rPr>
        <w:t>ë</w:t>
      </w:r>
      <w:r w:rsidR="00856875" w:rsidRPr="00991BFE">
        <w:rPr>
          <w:rFonts w:ascii="Times New Roman" w:hAnsi="Times New Roman" w:cs="Times New Roman"/>
          <w:sz w:val="24"/>
          <w:szCs w:val="24"/>
          <w:lang w:val="sq-AL"/>
        </w:rPr>
        <w:t xml:space="preserve"> </w:t>
      </w:r>
      <w:r w:rsidR="0095721C" w:rsidRPr="00991BFE">
        <w:rPr>
          <w:rFonts w:ascii="Times New Roman" w:hAnsi="Times New Roman" w:cs="Times New Roman"/>
          <w:sz w:val="24"/>
          <w:szCs w:val="24"/>
          <w:lang w:val="sq-AL"/>
        </w:rPr>
        <w:t>dispozitat e tij.</w:t>
      </w:r>
      <w:r w:rsidR="004B422B" w:rsidRPr="00991BFE">
        <w:rPr>
          <w:rFonts w:ascii="Times New Roman" w:hAnsi="Times New Roman" w:cs="Times New Roman"/>
          <w:sz w:val="24"/>
          <w:szCs w:val="24"/>
          <w:lang w:val="sq-AL"/>
        </w:rPr>
        <w:t xml:space="preserve"> </w:t>
      </w:r>
    </w:p>
    <w:p w14:paraId="3EABBDF9" w14:textId="77777777" w:rsidR="001E60C3" w:rsidRPr="00991BFE" w:rsidRDefault="001E60C3" w:rsidP="004F2D21">
      <w:pPr>
        <w:rPr>
          <w:rFonts w:ascii="Times New Roman" w:hAnsi="Times New Roman" w:cs="Times New Roman"/>
          <w:sz w:val="24"/>
          <w:szCs w:val="24"/>
          <w:lang w:val="sq-AL"/>
        </w:rPr>
      </w:pPr>
    </w:p>
    <w:p w14:paraId="5DA3CD3A" w14:textId="77777777" w:rsidR="001E60C3" w:rsidRPr="00991BFE" w:rsidRDefault="001E60C3" w:rsidP="001A79C0">
      <w:pPr>
        <w:pStyle w:val="Heading2"/>
        <w:numPr>
          <w:ilvl w:val="0"/>
          <w:numId w:val="12"/>
        </w:numPr>
        <w:spacing w:line="276" w:lineRule="auto"/>
        <w:rPr>
          <w:rFonts w:ascii="Times New Roman" w:hAnsi="Times New Roman" w:cs="Times New Roman"/>
          <w:b/>
          <w:color w:val="auto"/>
          <w:sz w:val="24"/>
          <w:szCs w:val="24"/>
          <w:lang w:val="sq-AL"/>
        </w:rPr>
      </w:pPr>
      <w:r w:rsidRPr="00991BFE">
        <w:rPr>
          <w:rFonts w:ascii="Times New Roman" w:hAnsi="Times New Roman" w:cs="Times New Roman"/>
          <w:b/>
          <w:color w:val="auto"/>
          <w:sz w:val="24"/>
          <w:szCs w:val="24"/>
          <w:lang w:val="sq-AL"/>
        </w:rPr>
        <w:t>PERSONAT DHE INSTITUCIONET QË KANË KONTRIBUAR NË HARTIMIN E PROJEKT AKTIT</w:t>
      </w:r>
    </w:p>
    <w:p w14:paraId="700506C1" w14:textId="77777777" w:rsidR="001E60C3" w:rsidRPr="00991BFE" w:rsidRDefault="001E60C3" w:rsidP="001A79C0">
      <w:pPr>
        <w:pStyle w:val="Heading2"/>
        <w:spacing w:line="276" w:lineRule="auto"/>
        <w:rPr>
          <w:rFonts w:ascii="Times New Roman" w:hAnsi="Times New Roman" w:cs="Times New Roman"/>
          <w:color w:val="auto"/>
          <w:sz w:val="24"/>
          <w:szCs w:val="24"/>
          <w:lang w:val="sq-AL"/>
        </w:rPr>
      </w:pPr>
    </w:p>
    <w:p w14:paraId="0BE10E68" w14:textId="1C72BF4A" w:rsidR="001E60C3" w:rsidRPr="00991BFE" w:rsidRDefault="001E60C3"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Ky projektligj është hartuar nga Ministria e F</w:t>
      </w:r>
      <w:r w:rsidR="0036574D" w:rsidRPr="00991BFE">
        <w:rPr>
          <w:rFonts w:ascii="Times New Roman" w:hAnsi="Times New Roman" w:cs="Times New Roman"/>
          <w:sz w:val="24"/>
          <w:szCs w:val="24"/>
          <w:lang w:val="sq-AL"/>
        </w:rPr>
        <w:t xml:space="preserve">inancave dhe Drejtoria e Përgjithshme e </w:t>
      </w:r>
      <w:r w:rsidR="00490143" w:rsidRPr="00991BFE">
        <w:rPr>
          <w:rFonts w:ascii="Times New Roman" w:hAnsi="Times New Roman" w:cs="Times New Roman"/>
          <w:sz w:val="24"/>
          <w:szCs w:val="24"/>
          <w:lang w:val="sq-AL"/>
        </w:rPr>
        <w:t>Taksës së Pasurisë</w:t>
      </w:r>
      <w:r w:rsidR="0036574D" w:rsidRPr="00991BFE">
        <w:rPr>
          <w:rFonts w:ascii="Times New Roman" w:hAnsi="Times New Roman" w:cs="Times New Roman"/>
          <w:sz w:val="24"/>
          <w:szCs w:val="24"/>
          <w:lang w:val="sq-AL"/>
        </w:rPr>
        <w:t>,</w:t>
      </w:r>
      <w:r w:rsidR="00156E9B"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 xml:space="preserve">të </w:t>
      </w:r>
      <w:r w:rsidR="0036574D" w:rsidRPr="00991BFE">
        <w:rPr>
          <w:rFonts w:ascii="Times New Roman" w:hAnsi="Times New Roman" w:cs="Times New Roman"/>
          <w:sz w:val="24"/>
          <w:szCs w:val="24"/>
          <w:lang w:val="sq-AL"/>
        </w:rPr>
        <w:t>cilët u mbështeten gjatë procesit të hartimit të projektligjit</w:t>
      </w:r>
      <w:r w:rsidRPr="00991BFE">
        <w:rPr>
          <w:rFonts w:ascii="Times New Roman" w:hAnsi="Times New Roman" w:cs="Times New Roman"/>
          <w:sz w:val="24"/>
          <w:szCs w:val="24"/>
          <w:lang w:val="sq-AL"/>
        </w:rPr>
        <w:t xml:space="preserve"> nga </w:t>
      </w:r>
      <w:r w:rsidR="00490143" w:rsidRPr="00991BFE">
        <w:rPr>
          <w:rFonts w:ascii="Times New Roman" w:hAnsi="Times New Roman" w:cs="Times New Roman"/>
          <w:sz w:val="24"/>
          <w:szCs w:val="24"/>
          <w:lang w:val="sq-AL"/>
        </w:rPr>
        <w:t xml:space="preserve">përfaqësues të Ministrisë së Punëve të Brendshme dhe </w:t>
      </w:r>
      <w:r w:rsidRPr="00991BFE">
        <w:rPr>
          <w:rFonts w:ascii="Times New Roman" w:hAnsi="Times New Roman" w:cs="Times New Roman"/>
          <w:sz w:val="24"/>
          <w:szCs w:val="24"/>
          <w:lang w:val="sq-AL"/>
        </w:rPr>
        <w:t>ekspertët e Projekti</w:t>
      </w:r>
      <w:r w:rsidR="00BE6ABA" w:rsidRPr="00991BFE">
        <w:rPr>
          <w:rFonts w:ascii="Times New Roman" w:hAnsi="Times New Roman" w:cs="Times New Roman"/>
          <w:sz w:val="24"/>
          <w:szCs w:val="24"/>
          <w:lang w:val="sq-AL"/>
        </w:rPr>
        <w:t>t</w:t>
      </w:r>
      <w:r w:rsidRPr="00991BFE">
        <w:rPr>
          <w:rFonts w:ascii="Times New Roman" w:hAnsi="Times New Roman" w:cs="Times New Roman"/>
          <w:sz w:val="24"/>
          <w:szCs w:val="24"/>
          <w:lang w:val="sq-AL"/>
        </w:rPr>
        <w:t xml:space="preserve"> “Pro Tax Albania</w:t>
      </w:r>
      <w:r w:rsidR="00BE6ABA" w:rsidRPr="00991BFE">
        <w:rPr>
          <w:rFonts w:ascii="Times New Roman" w:hAnsi="Times New Roman" w:cs="Times New Roman"/>
          <w:sz w:val="24"/>
          <w:szCs w:val="24"/>
          <w:lang w:val="sq-AL"/>
        </w:rPr>
        <w:t>”</w:t>
      </w:r>
      <w:r w:rsidRPr="00991BFE">
        <w:rPr>
          <w:rFonts w:ascii="Times New Roman" w:hAnsi="Times New Roman" w:cs="Times New Roman"/>
          <w:sz w:val="24"/>
          <w:szCs w:val="24"/>
          <w:lang w:val="sq-AL"/>
        </w:rPr>
        <w:t>.</w:t>
      </w:r>
    </w:p>
    <w:p w14:paraId="53F25BA9" w14:textId="77777777" w:rsidR="001E60C3" w:rsidRPr="00991BFE" w:rsidRDefault="001E60C3" w:rsidP="001A79C0">
      <w:pPr>
        <w:pStyle w:val="Heading2"/>
        <w:spacing w:line="276" w:lineRule="auto"/>
        <w:ind w:left="720"/>
        <w:rPr>
          <w:rFonts w:ascii="Times New Roman" w:hAnsi="Times New Roman" w:cs="Times New Roman"/>
          <w:color w:val="auto"/>
          <w:sz w:val="24"/>
          <w:szCs w:val="24"/>
          <w:lang w:val="sq-AL"/>
        </w:rPr>
      </w:pPr>
    </w:p>
    <w:p w14:paraId="13B33EDC" w14:textId="77777777" w:rsidR="001E60C3" w:rsidRPr="00991BFE" w:rsidRDefault="001E60C3" w:rsidP="001B0E58">
      <w:pPr>
        <w:pStyle w:val="Heading2"/>
        <w:numPr>
          <w:ilvl w:val="0"/>
          <w:numId w:val="12"/>
        </w:numPr>
        <w:spacing w:line="276" w:lineRule="auto"/>
        <w:jc w:val="both"/>
        <w:rPr>
          <w:rFonts w:ascii="Times New Roman" w:hAnsi="Times New Roman" w:cs="Times New Roman"/>
          <w:b/>
          <w:color w:val="auto"/>
          <w:sz w:val="24"/>
          <w:szCs w:val="24"/>
          <w:lang w:val="sq-AL"/>
        </w:rPr>
      </w:pPr>
      <w:r w:rsidRPr="00991BFE">
        <w:rPr>
          <w:rFonts w:ascii="Times New Roman" w:hAnsi="Times New Roman" w:cs="Times New Roman"/>
          <w:b/>
          <w:color w:val="auto"/>
          <w:sz w:val="24"/>
          <w:szCs w:val="24"/>
          <w:lang w:val="sq-AL"/>
        </w:rPr>
        <w:t xml:space="preserve">RAPORTI I VLERËSIMIT TË TË ARDHURAVE DHE SHPENZIMEVE BUXHETORE </w:t>
      </w:r>
    </w:p>
    <w:p w14:paraId="5E7F36F1" w14:textId="77777777" w:rsidR="007D7989" w:rsidRPr="00991BFE" w:rsidRDefault="007D7989" w:rsidP="00E6503C">
      <w:pPr>
        <w:spacing w:line="276" w:lineRule="auto"/>
        <w:jc w:val="both"/>
        <w:rPr>
          <w:rFonts w:ascii="Times New Roman" w:hAnsi="Times New Roman" w:cs="Times New Roman"/>
          <w:sz w:val="24"/>
          <w:szCs w:val="24"/>
          <w:lang w:val="sq-AL"/>
        </w:rPr>
      </w:pPr>
    </w:p>
    <w:p w14:paraId="516B9E28" w14:textId="771796F5" w:rsidR="00E6503C" w:rsidRPr="00991BFE" w:rsidRDefault="007D7989" w:rsidP="00E6503C">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lastRenderedPageBreak/>
        <w:t xml:space="preserve">Të gjitha ndryshimet apo risitë e propozuara, në kuadër të kësaj nisme, duke përfshirë </w:t>
      </w:r>
      <w:r w:rsidR="006A7A53" w:rsidRPr="00991BFE">
        <w:rPr>
          <w:rFonts w:ascii="Times New Roman" w:hAnsi="Times New Roman" w:cs="Times New Roman"/>
          <w:sz w:val="24"/>
          <w:szCs w:val="24"/>
          <w:lang w:val="sq-AL"/>
        </w:rPr>
        <w:t xml:space="preserve">këtu, </w:t>
      </w:r>
      <w:r w:rsidRPr="00991BFE">
        <w:rPr>
          <w:rFonts w:ascii="Times New Roman" w:hAnsi="Times New Roman" w:cs="Times New Roman"/>
          <w:sz w:val="24"/>
          <w:szCs w:val="24"/>
          <w:lang w:val="sq-AL"/>
        </w:rPr>
        <w:t>rritjen e bazës tatimore, ndryshimin e bazës së taksës, minimizimin e kostove</w:t>
      </w:r>
      <w:r w:rsidR="006A7A53" w:rsidRPr="00991BFE">
        <w:rPr>
          <w:rFonts w:ascii="Times New Roman" w:hAnsi="Times New Roman" w:cs="Times New Roman"/>
          <w:sz w:val="24"/>
          <w:szCs w:val="24"/>
          <w:lang w:val="sq-AL"/>
        </w:rPr>
        <w:t xml:space="preserve"> të</w:t>
      </w:r>
      <w:r w:rsidRPr="00991BFE">
        <w:rPr>
          <w:rFonts w:ascii="Times New Roman" w:hAnsi="Times New Roman" w:cs="Times New Roman"/>
          <w:sz w:val="24"/>
          <w:szCs w:val="24"/>
          <w:lang w:val="sq-AL"/>
        </w:rPr>
        <w:t xml:space="preserve"> administrimit, rritjen e efektivitetit te mbledhjes s</w:t>
      </w:r>
      <w:r w:rsidR="002D0633" w:rsidRPr="00991BFE">
        <w:rPr>
          <w:rFonts w:ascii="Times New Roman" w:hAnsi="Times New Roman" w:cs="Times New Roman"/>
          <w:sz w:val="24"/>
          <w:szCs w:val="24"/>
          <w:lang w:val="sq-AL"/>
        </w:rPr>
        <w:t>ë</w:t>
      </w:r>
      <w:r w:rsidRPr="00991BFE">
        <w:rPr>
          <w:rFonts w:ascii="Times New Roman" w:hAnsi="Times New Roman" w:cs="Times New Roman"/>
          <w:sz w:val="24"/>
          <w:szCs w:val="24"/>
          <w:lang w:val="sq-AL"/>
        </w:rPr>
        <w:t xml:space="preserve"> detyrimeve, etj,</w:t>
      </w:r>
      <w:r w:rsidR="009C6A9F"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do të kontribuojnë në rritjen e konside</w:t>
      </w:r>
      <w:r w:rsidR="006A7A53" w:rsidRPr="00991BFE">
        <w:rPr>
          <w:rFonts w:ascii="Times New Roman" w:hAnsi="Times New Roman" w:cs="Times New Roman"/>
          <w:sz w:val="24"/>
          <w:szCs w:val="24"/>
          <w:lang w:val="sq-AL"/>
        </w:rPr>
        <w:t xml:space="preserve">rueshme të të ardhurave nga taksa </w:t>
      </w:r>
      <w:r w:rsidR="00C0114C" w:rsidRPr="00991BFE">
        <w:rPr>
          <w:rFonts w:ascii="Times New Roman" w:hAnsi="Times New Roman" w:cs="Times New Roman"/>
          <w:sz w:val="24"/>
          <w:szCs w:val="24"/>
          <w:lang w:val="sq-AL"/>
        </w:rPr>
        <w:t>mbi</w:t>
      </w:r>
      <w:r w:rsidR="006A7A53" w:rsidRPr="00991BFE">
        <w:rPr>
          <w:rFonts w:ascii="Times New Roman" w:hAnsi="Times New Roman" w:cs="Times New Roman"/>
          <w:sz w:val="24"/>
          <w:szCs w:val="24"/>
          <w:lang w:val="sq-AL"/>
        </w:rPr>
        <w:t xml:space="preserve"> pasuri</w:t>
      </w:r>
      <w:r w:rsidR="00C0114C" w:rsidRPr="00991BFE">
        <w:rPr>
          <w:rFonts w:ascii="Times New Roman" w:hAnsi="Times New Roman" w:cs="Times New Roman"/>
          <w:sz w:val="24"/>
          <w:szCs w:val="24"/>
          <w:lang w:val="sq-AL"/>
        </w:rPr>
        <w:t>n</w:t>
      </w:r>
      <w:r w:rsidR="006A7A53" w:rsidRPr="00991BFE">
        <w:rPr>
          <w:rFonts w:ascii="Times New Roman" w:hAnsi="Times New Roman" w:cs="Times New Roman"/>
          <w:sz w:val="24"/>
          <w:szCs w:val="24"/>
          <w:lang w:val="sq-AL"/>
        </w:rPr>
        <w:t>ë</w:t>
      </w:r>
      <w:r w:rsidR="00C0114C" w:rsidRPr="00991BFE">
        <w:rPr>
          <w:rFonts w:ascii="Times New Roman" w:hAnsi="Times New Roman" w:cs="Times New Roman"/>
          <w:sz w:val="24"/>
          <w:szCs w:val="24"/>
          <w:lang w:val="sq-AL"/>
        </w:rPr>
        <w:t xml:space="preserve"> e paluajtshme</w:t>
      </w:r>
      <w:r w:rsidRPr="00991BFE">
        <w:rPr>
          <w:rFonts w:ascii="Times New Roman" w:hAnsi="Times New Roman" w:cs="Times New Roman"/>
          <w:sz w:val="24"/>
          <w:szCs w:val="24"/>
          <w:lang w:val="sq-AL"/>
        </w:rPr>
        <w:t>. Sipas parashikimeve të FMN-së, pas implementimit të reformës, të ardhurat e gjeneruara</w:t>
      </w:r>
      <w:r w:rsidR="009C6A9F" w:rsidRPr="00991BFE">
        <w:rPr>
          <w:rFonts w:ascii="Times New Roman" w:hAnsi="Times New Roman" w:cs="Times New Roman"/>
          <w:sz w:val="24"/>
          <w:szCs w:val="24"/>
          <w:lang w:val="sq-AL"/>
        </w:rPr>
        <w:t xml:space="preserve"> </w:t>
      </w:r>
      <w:r w:rsidRPr="00991BFE">
        <w:rPr>
          <w:rFonts w:ascii="Times New Roman" w:hAnsi="Times New Roman" w:cs="Times New Roman"/>
          <w:sz w:val="24"/>
          <w:szCs w:val="24"/>
          <w:lang w:val="sq-AL"/>
        </w:rPr>
        <w:t>mund të arrijnë nivelet e 0.7% - 1 % të PBB-së</w:t>
      </w:r>
      <w:r w:rsidR="009A4378" w:rsidRPr="00991BFE">
        <w:rPr>
          <w:rFonts w:ascii="Times New Roman" w:hAnsi="Times New Roman" w:cs="Times New Roman"/>
          <w:sz w:val="24"/>
          <w:szCs w:val="24"/>
          <w:lang w:val="sq-AL"/>
        </w:rPr>
        <w:t>.</w:t>
      </w:r>
      <w:r w:rsidR="009A4378" w:rsidRPr="00991BFE">
        <w:rPr>
          <w:rStyle w:val="FootnoteReference"/>
          <w:rFonts w:ascii="Times New Roman" w:hAnsi="Times New Roman" w:cs="Times New Roman"/>
          <w:sz w:val="24"/>
          <w:szCs w:val="24"/>
          <w:lang w:val="sq-AL"/>
        </w:rPr>
        <w:footnoteReference w:id="5"/>
      </w:r>
      <w:r w:rsidRPr="00991BFE">
        <w:rPr>
          <w:rFonts w:ascii="Times New Roman" w:hAnsi="Times New Roman" w:cs="Times New Roman"/>
          <w:sz w:val="24"/>
          <w:szCs w:val="24"/>
          <w:lang w:val="sq-AL"/>
        </w:rPr>
        <w:t xml:space="preserve"> </w:t>
      </w:r>
    </w:p>
    <w:p w14:paraId="289F3FDF" w14:textId="7D10DA5C" w:rsidR="004A004D" w:rsidRPr="00991BFE" w:rsidRDefault="000A5348" w:rsidP="007D7989">
      <w:pPr>
        <w:spacing w:line="276" w:lineRule="auto"/>
        <w:jc w:val="both"/>
        <w:rPr>
          <w:rFonts w:ascii="Times New Roman" w:hAnsi="Times New Roman" w:cs="Times New Roman"/>
          <w:sz w:val="24"/>
          <w:szCs w:val="24"/>
          <w:lang w:val="sq-AL"/>
        </w:rPr>
      </w:pPr>
      <w:r w:rsidRPr="00991BFE">
        <w:rPr>
          <w:rFonts w:ascii="Times New Roman" w:hAnsi="Times New Roman" w:cs="Times New Roman"/>
          <w:sz w:val="24"/>
          <w:szCs w:val="24"/>
          <w:lang w:val="sq-AL"/>
        </w:rPr>
        <w:t xml:space="preserve">Për sa </w:t>
      </w:r>
      <w:r w:rsidR="007058A6" w:rsidRPr="00991BFE">
        <w:rPr>
          <w:rFonts w:ascii="Times New Roman" w:hAnsi="Times New Roman" w:cs="Times New Roman"/>
          <w:sz w:val="24"/>
          <w:szCs w:val="24"/>
          <w:lang w:val="sq-AL"/>
        </w:rPr>
        <w:t>i</w:t>
      </w:r>
      <w:r w:rsidRPr="00991BFE">
        <w:rPr>
          <w:rFonts w:ascii="Times New Roman" w:hAnsi="Times New Roman" w:cs="Times New Roman"/>
          <w:sz w:val="24"/>
          <w:szCs w:val="24"/>
          <w:lang w:val="sq-AL"/>
        </w:rPr>
        <w:t xml:space="preserve"> përket</w:t>
      </w:r>
      <w:r w:rsidR="00990CAC" w:rsidRPr="00991BFE">
        <w:rPr>
          <w:rFonts w:ascii="Times New Roman" w:hAnsi="Times New Roman" w:cs="Times New Roman"/>
          <w:sz w:val="24"/>
          <w:szCs w:val="24"/>
          <w:lang w:val="sq-AL"/>
        </w:rPr>
        <w:t xml:space="preserve"> shpenzimeve buxhetore, ato </w:t>
      </w:r>
      <w:r w:rsidR="0096062D" w:rsidRPr="00991BFE">
        <w:rPr>
          <w:rFonts w:ascii="Times New Roman" w:hAnsi="Times New Roman" w:cs="Times New Roman"/>
          <w:sz w:val="24"/>
          <w:szCs w:val="24"/>
          <w:lang w:val="sq-AL"/>
        </w:rPr>
        <w:t>janë, në kohën e hartimit të këtij relacioni</w:t>
      </w:r>
      <w:r w:rsidR="00990CAC" w:rsidRPr="00991BFE">
        <w:rPr>
          <w:rFonts w:ascii="Times New Roman" w:hAnsi="Times New Roman" w:cs="Times New Roman"/>
          <w:sz w:val="24"/>
          <w:szCs w:val="24"/>
          <w:lang w:val="sq-AL"/>
        </w:rPr>
        <w:t xml:space="preserve">, të </w:t>
      </w:r>
      <w:r w:rsidRPr="00991BFE">
        <w:rPr>
          <w:rFonts w:ascii="Times New Roman" w:hAnsi="Times New Roman" w:cs="Times New Roman"/>
          <w:sz w:val="24"/>
          <w:szCs w:val="24"/>
          <w:lang w:val="sq-AL"/>
        </w:rPr>
        <w:t>p</w:t>
      </w:r>
      <w:r w:rsidR="00990CAC" w:rsidRPr="00991BFE">
        <w:rPr>
          <w:rFonts w:ascii="Times New Roman" w:hAnsi="Times New Roman" w:cs="Times New Roman"/>
          <w:sz w:val="24"/>
          <w:szCs w:val="24"/>
          <w:lang w:val="sq-AL"/>
        </w:rPr>
        <w:t xml:space="preserve">apërcaktueshme. Këto të dhëna </w:t>
      </w:r>
      <w:r w:rsidRPr="00991BFE">
        <w:rPr>
          <w:rFonts w:ascii="Times New Roman" w:hAnsi="Times New Roman" w:cs="Times New Roman"/>
          <w:sz w:val="24"/>
          <w:szCs w:val="24"/>
          <w:lang w:val="sq-AL"/>
        </w:rPr>
        <w:t>do të mund të llogariten gjat</w:t>
      </w:r>
      <w:r w:rsidR="00990CAC" w:rsidRPr="00991BFE">
        <w:rPr>
          <w:rFonts w:ascii="Times New Roman" w:hAnsi="Times New Roman" w:cs="Times New Roman"/>
          <w:sz w:val="24"/>
          <w:szCs w:val="24"/>
          <w:lang w:val="sq-AL"/>
        </w:rPr>
        <w:t xml:space="preserve">ë hartimit të akteve </w:t>
      </w:r>
      <w:r w:rsidR="009374BA" w:rsidRPr="00991BFE">
        <w:rPr>
          <w:rFonts w:ascii="Times New Roman" w:hAnsi="Times New Roman" w:cs="Times New Roman"/>
          <w:sz w:val="24"/>
          <w:szCs w:val="24"/>
          <w:lang w:val="sq-AL"/>
        </w:rPr>
        <w:t>të</w:t>
      </w:r>
      <w:r w:rsidR="00990CAC" w:rsidRPr="00991BFE">
        <w:rPr>
          <w:rFonts w:ascii="Times New Roman" w:hAnsi="Times New Roman" w:cs="Times New Roman"/>
          <w:sz w:val="24"/>
          <w:szCs w:val="24"/>
          <w:lang w:val="sq-AL"/>
        </w:rPr>
        <w:t xml:space="preserve"> nevojshme nënligjore, </w:t>
      </w:r>
      <w:r w:rsidR="009374BA" w:rsidRPr="00991BFE">
        <w:rPr>
          <w:rFonts w:ascii="Times New Roman" w:hAnsi="Times New Roman" w:cs="Times New Roman"/>
          <w:sz w:val="24"/>
          <w:szCs w:val="24"/>
          <w:lang w:val="sq-AL"/>
        </w:rPr>
        <w:t>veçanërisht</w:t>
      </w:r>
      <w:r w:rsidR="00990CAC" w:rsidRPr="00991BFE">
        <w:rPr>
          <w:rFonts w:ascii="Times New Roman" w:hAnsi="Times New Roman" w:cs="Times New Roman"/>
          <w:sz w:val="24"/>
          <w:szCs w:val="24"/>
          <w:lang w:val="sq-AL"/>
        </w:rPr>
        <w:t xml:space="preserve"> </w:t>
      </w:r>
      <w:r w:rsidR="009374BA" w:rsidRPr="00991BFE">
        <w:rPr>
          <w:rFonts w:ascii="Times New Roman" w:hAnsi="Times New Roman" w:cs="Times New Roman"/>
          <w:sz w:val="24"/>
          <w:szCs w:val="24"/>
          <w:lang w:val="sq-AL"/>
        </w:rPr>
        <w:t>urdhrit</w:t>
      </w:r>
      <w:r w:rsidR="00990CAC" w:rsidRPr="00991BFE">
        <w:rPr>
          <w:rFonts w:ascii="Times New Roman" w:hAnsi="Times New Roman" w:cs="Times New Roman"/>
          <w:sz w:val="24"/>
          <w:szCs w:val="24"/>
          <w:lang w:val="sq-AL"/>
        </w:rPr>
        <w:t xml:space="preserve"> </w:t>
      </w:r>
      <w:r w:rsidR="009374BA" w:rsidRPr="00991BFE">
        <w:rPr>
          <w:rFonts w:ascii="Times New Roman" w:hAnsi="Times New Roman" w:cs="Times New Roman"/>
          <w:sz w:val="24"/>
          <w:szCs w:val="24"/>
          <w:lang w:val="sq-AL"/>
        </w:rPr>
        <w:t>për</w:t>
      </w:r>
      <w:r w:rsidR="00990CAC" w:rsidRPr="00991BFE">
        <w:rPr>
          <w:rFonts w:ascii="Times New Roman" w:hAnsi="Times New Roman" w:cs="Times New Roman"/>
          <w:sz w:val="24"/>
          <w:szCs w:val="24"/>
          <w:lang w:val="sq-AL"/>
        </w:rPr>
        <w:t xml:space="preserve"> miratimin </w:t>
      </w:r>
      <w:r w:rsidR="00202442">
        <w:rPr>
          <w:rFonts w:ascii="Times New Roman" w:hAnsi="Times New Roman" w:cs="Times New Roman"/>
          <w:sz w:val="24"/>
          <w:szCs w:val="24"/>
          <w:lang w:val="sq-AL"/>
        </w:rPr>
        <w:t xml:space="preserve">e </w:t>
      </w:r>
      <w:r w:rsidR="009374BA" w:rsidRPr="00991BFE">
        <w:rPr>
          <w:rFonts w:ascii="Times New Roman" w:hAnsi="Times New Roman" w:cs="Times New Roman"/>
          <w:sz w:val="24"/>
          <w:szCs w:val="24"/>
          <w:lang w:val="sq-AL"/>
        </w:rPr>
        <w:t>strukturës</w:t>
      </w:r>
      <w:r w:rsidR="00990CAC" w:rsidRPr="00991BFE">
        <w:rPr>
          <w:rFonts w:ascii="Times New Roman" w:hAnsi="Times New Roman" w:cs="Times New Roman"/>
          <w:sz w:val="24"/>
          <w:szCs w:val="24"/>
          <w:lang w:val="sq-AL"/>
        </w:rPr>
        <w:t xml:space="preserve"> së re organizative të Drejtorisë së Për</w:t>
      </w:r>
      <w:r w:rsidR="00E03CCA" w:rsidRPr="00991BFE">
        <w:rPr>
          <w:rFonts w:ascii="Times New Roman" w:hAnsi="Times New Roman" w:cs="Times New Roman"/>
          <w:sz w:val="24"/>
          <w:szCs w:val="24"/>
          <w:lang w:val="sq-AL"/>
        </w:rPr>
        <w:t>gjithshme të Taksës së Pasurisë, si dhe</w:t>
      </w:r>
      <w:r w:rsidR="009374BA" w:rsidRPr="00991BFE">
        <w:rPr>
          <w:rFonts w:ascii="Times New Roman" w:hAnsi="Times New Roman" w:cs="Times New Roman"/>
          <w:sz w:val="24"/>
          <w:szCs w:val="24"/>
          <w:lang w:val="sq-AL"/>
        </w:rPr>
        <w:t xml:space="preserve"> </w:t>
      </w:r>
      <w:r w:rsidR="00827146" w:rsidRPr="00991BFE">
        <w:rPr>
          <w:rFonts w:ascii="Times New Roman" w:hAnsi="Times New Roman" w:cs="Times New Roman"/>
          <w:sz w:val="24"/>
          <w:szCs w:val="24"/>
          <w:lang w:val="sq-AL"/>
        </w:rPr>
        <w:t xml:space="preserve">gjatë </w:t>
      </w:r>
      <w:r w:rsidR="009374BA" w:rsidRPr="00991BFE">
        <w:rPr>
          <w:rFonts w:ascii="Times New Roman" w:hAnsi="Times New Roman" w:cs="Times New Roman"/>
          <w:sz w:val="24"/>
          <w:szCs w:val="24"/>
          <w:lang w:val="sq-AL"/>
        </w:rPr>
        <w:t>alokimit të buxhetit për angazhimin e mundshëm të vlerësuesve privatë të licen</w:t>
      </w:r>
      <w:r w:rsidR="007D7989" w:rsidRPr="00991BFE">
        <w:rPr>
          <w:rFonts w:ascii="Times New Roman" w:hAnsi="Times New Roman" w:cs="Times New Roman"/>
          <w:sz w:val="24"/>
          <w:szCs w:val="24"/>
          <w:lang w:val="sq-AL"/>
        </w:rPr>
        <w:t>cuar të pasurive të paluajtshme</w:t>
      </w:r>
      <w:r w:rsidR="007058A6" w:rsidRPr="00991BFE">
        <w:rPr>
          <w:rFonts w:ascii="Times New Roman" w:hAnsi="Times New Roman" w:cs="Times New Roman"/>
          <w:sz w:val="24"/>
          <w:szCs w:val="24"/>
          <w:lang w:val="sq-AL"/>
        </w:rPr>
        <w:t>.</w:t>
      </w:r>
    </w:p>
    <w:sectPr w:rsidR="004A004D" w:rsidRPr="00991BFE" w:rsidSect="00FB4303">
      <w:footerReference w:type="default" r:id="rId8"/>
      <w:pgSz w:w="12240" w:h="15840"/>
      <w:pgMar w:top="1440" w:right="1440" w:bottom="1440" w:left="1440"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DB984" w14:textId="77777777" w:rsidR="00442004" w:rsidRDefault="00442004" w:rsidP="002E4D71">
      <w:pPr>
        <w:spacing w:after="0" w:line="240" w:lineRule="auto"/>
      </w:pPr>
      <w:r>
        <w:separator/>
      </w:r>
    </w:p>
  </w:endnote>
  <w:endnote w:type="continuationSeparator" w:id="0">
    <w:p w14:paraId="5E0D2D22" w14:textId="77777777" w:rsidR="00442004" w:rsidRDefault="00442004" w:rsidP="002E4D71">
      <w:pPr>
        <w:spacing w:after="0" w:line="240" w:lineRule="auto"/>
      </w:pPr>
      <w:r>
        <w:continuationSeparator/>
      </w:r>
    </w:p>
  </w:endnote>
  <w:endnote w:type="continuationNotice" w:id="1">
    <w:p w14:paraId="4426F9A8" w14:textId="77777777" w:rsidR="00442004" w:rsidRDefault="00442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564009"/>
      <w:docPartObj>
        <w:docPartGallery w:val="Page Numbers (Bottom of Page)"/>
        <w:docPartUnique/>
      </w:docPartObj>
    </w:sdtPr>
    <w:sdtEndPr>
      <w:rPr>
        <w:noProof/>
      </w:rPr>
    </w:sdtEndPr>
    <w:sdtContent>
      <w:p w14:paraId="0158FFAB" w14:textId="0E9E5125" w:rsidR="009A524C" w:rsidRDefault="009A524C">
        <w:pPr>
          <w:pStyle w:val="Footer"/>
          <w:jc w:val="right"/>
        </w:pPr>
        <w:r w:rsidRPr="002F39DD">
          <w:rPr>
            <w:rFonts w:ascii="Times New Roman" w:hAnsi="Times New Roman" w:cs="Times New Roman"/>
          </w:rPr>
          <w:fldChar w:fldCharType="begin"/>
        </w:r>
        <w:r w:rsidRPr="002F39DD">
          <w:rPr>
            <w:rFonts w:ascii="Times New Roman" w:hAnsi="Times New Roman" w:cs="Times New Roman"/>
          </w:rPr>
          <w:instrText xml:space="preserve"> PAGE   \* MERGEFORMAT </w:instrText>
        </w:r>
        <w:r w:rsidRPr="002F39DD">
          <w:rPr>
            <w:rFonts w:ascii="Times New Roman" w:hAnsi="Times New Roman" w:cs="Times New Roman"/>
          </w:rPr>
          <w:fldChar w:fldCharType="separate"/>
        </w:r>
        <w:r w:rsidR="001716CD">
          <w:rPr>
            <w:rFonts w:ascii="Times New Roman" w:hAnsi="Times New Roman" w:cs="Times New Roman"/>
            <w:noProof/>
          </w:rPr>
          <w:t>16</w:t>
        </w:r>
        <w:r w:rsidRPr="002F39DD">
          <w:rPr>
            <w:rFonts w:ascii="Times New Roman" w:hAnsi="Times New Roman" w:cs="Times New Roman"/>
            <w:noProof/>
          </w:rPr>
          <w:fldChar w:fldCharType="end"/>
        </w:r>
      </w:p>
    </w:sdtContent>
  </w:sdt>
  <w:p w14:paraId="4E54E5D0" w14:textId="77777777" w:rsidR="009A524C" w:rsidRPr="001A79C0" w:rsidRDefault="009A524C" w:rsidP="00B51B10">
    <w:pPr>
      <w:pStyle w:val="Footer"/>
      <w:jc w:val="center"/>
      <w:rPr>
        <w:rFonts w:ascii="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ACCC" w14:textId="77777777" w:rsidR="00442004" w:rsidRDefault="00442004" w:rsidP="002E4D71">
      <w:pPr>
        <w:spacing w:after="0" w:line="240" w:lineRule="auto"/>
      </w:pPr>
      <w:r>
        <w:separator/>
      </w:r>
    </w:p>
  </w:footnote>
  <w:footnote w:type="continuationSeparator" w:id="0">
    <w:p w14:paraId="02423DD4" w14:textId="77777777" w:rsidR="00442004" w:rsidRDefault="00442004" w:rsidP="002E4D71">
      <w:pPr>
        <w:spacing w:after="0" w:line="240" w:lineRule="auto"/>
      </w:pPr>
      <w:r>
        <w:continuationSeparator/>
      </w:r>
    </w:p>
  </w:footnote>
  <w:footnote w:type="continuationNotice" w:id="1">
    <w:p w14:paraId="43253BD4" w14:textId="77777777" w:rsidR="00442004" w:rsidRDefault="00442004">
      <w:pPr>
        <w:spacing w:after="0" w:line="240" w:lineRule="auto"/>
      </w:pPr>
    </w:p>
  </w:footnote>
  <w:footnote w:id="2">
    <w:p w14:paraId="3357C22A" w14:textId="77777777" w:rsidR="009A524C" w:rsidRPr="00985275" w:rsidRDefault="009A524C" w:rsidP="00C4771F">
      <w:pPr>
        <w:pStyle w:val="FootnoteText"/>
        <w:jc w:val="both"/>
        <w:rPr>
          <w:lang w:val="sq-AL"/>
        </w:rPr>
      </w:pPr>
      <w:r w:rsidRPr="00985275">
        <w:rPr>
          <w:rStyle w:val="FootnoteReference"/>
          <w:rFonts w:ascii="Times New Roman" w:hAnsi="Times New Roman" w:cs="Times New Roman"/>
          <w:sz w:val="18"/>
          <w:szCs w:val="18"/>
          <w:lang w:val="sq-AL"/>
        </w:rPr>
        <w:footnoteRef/>
      </w:r>
      <w:r w:rsidRPr="00985275">
        <w:rPr>
          <w:rFonts w:ascii="Times New Roman" w:hAnsi="Times New Roman" w:cs="Times New Roman"/>
          <w:sz w:val="18"/>
          <w:szCs w:val="18"/>
          <w:lang w:val="sq-AL"/>
        </w:rPr>
        <w:t>John Norregaard, William McCluskey, and Lawrence Walters “Moving to a value based property tax. A roadmap for implemetation.”, IMF, 2014;</w:t>
      </w:r>
      <w:r>
        <w:rPr>
          <w:rFonts w:ascii="Times New Roman" w:hAnsi="Times New Roman" w:cs="Times New Roman"/>
          <w:sz w:val="18"/>
          <w:szCs w:val="18"/>
          <w:lang w:val="sq-AL"/>
        </w:rPr>
        <w:t xml:space="preserve"> </w:t>
      </w:r>
      <w:r w:rsidRPr="00985275">
        <w:rPr>
          <w:rFonts w:ascii="Times New Roman" w:hAnsi="Times New Roman" w:cs="Times New Roman"/>
          <w:sz w:val="18"/>
          <w:szCs w:val="18"/>
          <w:lang w:val="sq-AL"/>
        </w:rPr>
        <w:t>Martin Grote, Riël Franzsen, and William McCluskey, “Albania, A Value-Based Property Tax: Review of Policies, Draft Legislation and Implementation Steps”, IMF, 2017</w:t>
      </w:r>
    </w:p>
  </w:footnote>
  <w:footnote w:id="3">
    <w:p w14:paraId="48C08552" w14:textId="77777777" w:rsidR="009A524C" w:rsidRPr="00985275" w:rsidRDefault="009A524C" w:rsidP="00C4771F">
      <w:pPr>
        <w:pStyle w:val="FootnoteText"/>
        <w:jc w:val="both"/>
        <w:rPr>
          <w:rFonts w:ascii="Times New Roman" w:hAnsi="Times New Roman" w:cs="Times New Roman"/>
          <w:sz w:val="18"/>
          <w:szCs w:val="18"/>
          <w:lang w:val="it-IT"/>
        </w:rPr>
      </w:pPr>
      <w:r w:rsidRPr="00985275">
        <w:rPr>
          <w:rStyle w:val="FootnoteReference"/>
          <w:rFonts w:ascii="Times New Roman" w:hAnsi="Times New Roman" w:cs="Times New Roman"/>
          <w:sz w:val="18"/>
          <w:szCs w:val="18"/>
        </w:rPr>
        <w:footnoteRef/>
      </w:r>
      <w:r w:rsidRPr="00985275">
        <w:rPr>
          <w:rFonts w:ascii="Times New Roman" w:hAnsi="Times New Roman" w:cs="Times New Roman"/>
          <w:sz w:val="18"/>
          <w:szCs w:val="18"/>
        </w:rPr>
        <w:t xml:space="preserve"> Arnold, Jens. 2008. Do Tax Structures Affect Aggregate Economic </w:t>
      </w:r>
      <w:proofErr w:type="gramStart"/>
      <w:r w:rsidRPr="00985275">
        <w:rPr>
          <w:rFonts w:ascii="Times New Roman" w:hAnsi="Times New Roman" w:cs="Times New Roman"/>
          <w:sz w:val="18"/>
          <w:szCs w:val="18"/>
        </w:rPr>
        <w:t>Growth?:</w:t>
      </w:r>
      <w:proofErr w:type="gramEnd"/>
      <w:r w:rsidRPr="00985275">
        <w:rPr>
          <w:rFonts w:ascii="Times New Roman" w:hAnsi="Times New Roman" w:cs="Times New Roman"/>
          <w:sz w:val="18"/>
          <w:szCs w:val="18"/>
        </w:rPr>
        <w:t xml:space="preserve"> Empirical evidence from a panel of OECD countries. In OCED Economics Department Working Papers: OECD Publishing; Arnold, Jens Matthias, Bert Brys, Christopher Heady, Asa Johansson, Cyrille Schwellnus, and Laura Vartia. 2011. Tax Policy for Economic Recovery and Growth. </w:t>
      </w:r>
      <w:r w:rsidRPr="00985275">
        <w:rPr>
          <w:rFonts w:ascii="Times New Roman" w:hAnsi="Times New Roman" w:cs="Times New Roman"/>
          <w:i/>
          <w:sz w:val="18"/>
          <w:szCs w:val="18"/>
        </w:rPr>
        <w:t>Economic Journal</w:t>
      </w:r>
      <w:r w:rsidRPr="00985275">
        <w:rPr>
          <w:rFonts w:ascii="Times New Roman" w:hAnsi="Times New Roman" w:cs="Times New Roman"/>
          <w:sz w:val="18"/>
          <w:szCs w:val="18"/>
        </w:rPr>
        <w:t xml:space="preserve"> 121 (550):F59-F80.</w:t>
      </w:r>
    </w:p>
  </w:footnote>
  <w:footnote w:id="4">
    <w:p w14:paraId="1CC7803F" w14:textId="77777777" w:rsidR="009A524C" w:rsidRPr="00173BD0" w:rsidRDefault="009A524C" w:rsidP="00C4771F">
      <w:pPr>
        <w:pStyle w:val="FootnoteText"/>
        <w:jc w:val="both"/>
        <w:rPr>
          <w:lang w:val="it-IT"/>
        </w:rPr>
      </w:pPr>
      <w:r>
        <w:rPr>
          <w:rStyle w:val="FootnoteReference"/>
        </w:rPr>
        <w:footnoteRef/>
      </w:r>
      <w:r w:rsidRPr="00985275">
        <w:rPr>
          <w:rFonts w:ascii="Times New Roman" w:hAnsi="Times New Roman" w:cs="Times New Roman"/>
          <w:sz w:val="18"/>
          <w:szCs w:val="18"/>
          <w:lang w:val="sq-AL"/>
        </w:rPr>
        <w:t>John Norregaard, William McCluskey, and Lawrence Walters “Moving to a value based property tax. A roadmap for implemetation.”, IMF, 2014</w:t>
      </w:r>
    </w:p>
  </w:footnote>
  <w:footnote w:id="5">
    <w:p w14:paraId="63E84CDD" w14:textId="77777777" w:rsidR="009A524C" w:rsidRPr="00AB27E4" w:rsidRDefault="009A524C">
      <w:pPr>
        <w:pStyle w:val="FootnoteText"/>
        <w:rPr>
          <w:rFonts w:ascii="Times New Roman" w:hAnsi="Times New Roman" w:cs="Times New Roman"/>
          <w:sz w:val="18"/>
          <w:szCs w:val="18"/>
          <w:lang w:val="it-IT"/>
        </w:rPr>
      </w:pPr>
      <w:r w:rsidRPr="00AB27E4">
        <w:rPr>
          <w:rStyle w:val="FootnoteReference"/>
          <w:rFonts w:ascii="Times New Roman" w:hAnsi="Times New Roman" w:cs="Times New Roman"/>
          <w:sz w:val="18"/>
          <w:szCs w:val="18"/>
        </w:rPr>
        <w:footnoteRef/>
      </w:r>
      <w:r w:rsidRPr="00AB27E4">
        <w:rPr>
          <w:rFonts w:ascii="Times New Roman" w:hAnsi="Times New Roman" w:cs="Times New Roman"/>
          <w:sz w:val="18"/>
          <w:szCs w:val="18"/>
        </w:rPr>
        <w:t xml:space="preserve"> </w:t>
      </w:r>
      <w:r w:rsidRPr="00AB27E4">
        <w:rPr>
          <w:rFonts w:ascii="Times New Roman" w:hAnsi="Times New Roman" w:cs="Times New Roman"/>
          <w:sz w:val="18"/>
          <w:szCs w:val="18"/>
          <w:lang w:val="sq-AL"/>
        </w:rPr>
        <w:t xml:space="preserve">John </w:t>
      </w:r>
      <w:r w:rsidRPr="00AB27E4">
        <w:rPr>
          <w:rFonts w:ascii="Times New Roman" w:hAnsi="Times New Roman" w:cs="Times New Roman"/>
          <w:sz w:val="18"/>
          <w:szCs w:val="18"/>
          <w:lang w:val="sq-AL"/>
        </w:rPr>
        <w:t>Norregaard, William McCluskey, and Lawrence Walters “Moving to a value based property tax. A roadmap for implemetation.”, IMF,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5F3F"/>
    <w:multiLevelType w:val="hybridMultilevel"/>
    <w:tmpl w:val="62ACC7EC"/>
    <w:lvl w:ilvl="0" w:tplc="2AF45D0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8124F"/>
    <w:multiLevelType w:val="hybridMultilevel"/>
    <w:tmpl w:val="C4BC03E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C4F62"/>
    <w:multiLevelType w:val="hybridMultilevel"/>
    <w:tmpl w:val="9A1EE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786C"/>
    <w:multiLevelType w:val="hybridMultilevel"/>
    <w:tmpl w:val="78CC9FA2"/>
    <w:lvl w:ilvl="0" w:tplc="BE6E06DC">
      <w:start w:val="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12A7F"/>
    <w:multiLevelType w:val="hybridMultilevel"/>
    <w:tmpl w:val="3BDE3666"/>
    <w:lvl w:ilvl="0" w:tplc="72BE76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0C5F66"/>
    <w:multiLevelType w:val="hybridMultilevel"/>
    <w:tmpl w:val="FD869990"/>
    <w:lvl w:ilvl="0" w:tplc="E348CC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B23EE"/>
    <w:multiLevelType w:val="hybridMultilevel"/>
    <w:tmpl w:val="FA0C5F64"/>
    <w:lvl w:ilvl="0" w:tplc="2AF45D00">
      <w:start w:val="1"/>
      <w:numFmt w:val="bullet"/>
      <w:lvlText w:val="₋"/>
      <w:lvlJc w:val="left"/>
      <w:pPr>
        <w:ind w:left="1440" w:hanging="360"/>
      </w:pPr>
      <w:rPr>
        <w:rFonts w:ascii="Times New Roman" w:hAnsi="Times New Roman" w:cs="Times New Roman" w:hint="default"/>
      </w:rPr>
    </w:lvl>
    <w:lvl w:ilvl="1" w:tplc="2AF45D00">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D09E0"/>
    <w:multiLevelType w:val="hybridMultilevel"/>
    <w:tmpl w:val="8ED63F44"/>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863BE1"/>
    <w:multiLevelType w:val="hybridMultilevel"/>
    <w:tmpl w:val="C868E044"/>
    <w:lvl w:ilvl="0" w:tplc="1C28B3D8">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75D7C"/>
    <w:multiLevelType w:val="hybridMultilevel"/>
    <w:tmpl w:val="5B2C1204"/>
    <w:lvl w:ilvl="0" w:tplc="A9D4B5EC">
      <w:start w:val="1"/>
      <w:numFmt w:val="upperRoman"/>
      <w:lvlText w:val="%1."/>
      <w:lvlJc w:val="right"/>
      <w:pPr>
        <w:ind w:left="288" w:hanging="108"/>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96E6550"/>
    <w:multiLevelType w:val="hybridMultilevel"/>
    <w:tmpl w:val="F860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41408"/>
    <w:multiLevelType w:val="hybridMultilevel"/>
    <w:tmpl w:val="3AAC4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3351CE"/>
    <w:multiLevelType w:val="hybridMultilevel"/>
    <w:tmpl w:val="40D45736"/>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77761"/>
    <w:multiLevelType w:val="hybridMultilevel"/>
    <w:tmpl w:val="1BB2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36E66"/>
    <w:multiLevelType w:val="hybridMultilevel"/>
    <w:tmpl w:val="23F0F19E"/>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17BFB"/>
    <w:multiLevelType w:val="hybridMultilevel"/>
    <w:tmpl w:val="5FEAF8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2158A2"/>
    <w:multiLevelType w:val="hybridMultilevel"/>
    <w:tmpl w:val="0372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01A82"/>
    <w:multiLevelType w:val="hybridMultilevel"/>
    <w:tmpl w:val="6214F522"/>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F2569"/>
    <w:multiLevelType w:val="hybridMultilevel"/>
    <w:tmpl w:val="A9220038"/>
    <w:lvl w:ilvl="0" w:tplc="2AF45D0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366D8E"/>
    <w:multiLevelType w:val="hybridMultilevel"/>
    <w:tmpl w:val="9806B026"/>
    <w:lvl w:ilvl="0" w:tplc="776E50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A915132"/>
    <w:multiLevelType w:val="hybridMultilevel"/>
    <w:tmpl w:val="64AA4DA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763118">
    <w:abstractNumId w:val="1"/>
  </w:num>
  <w:num w:numId="2" w16cid:durableId="1845439089">
    <w:abstractNumId w:val="10"/>
  </w:num>
  <w:num w:numId="3" w16cid:durableId="1162233256">
    <w:abstractNumId w:val="2"/>
  </w:num>
  <w:num w:numId="4" w16cid:durableId="1058824652">
    <w:abstractNumId w:val="13"/>
  </w:num>
  <w:num w:numId="5" w16cid:durableId="1644892792">
    <w:abstractNumId w:val="4"/>
  </w:num>
  <w:num w:numId="6" w16cid:durableId="843082893">
    <w:abstractNumId w:val="11"/>
  </w:num>
  <w:num w:numId="7" w16cid:durableId="1979646708">
    <w:abstractNumId w:val="15"/>
  </w:num>
  <w:num w:numId="8" w16cid:durableId="602341842">
    <w:abstractNumId w:val="8"/>
  </w:num>
  <w:num w:numId="9" w16cid:durableId="1860267748">
    <w:abstractNumId w:val="5"/>
  </w:num>
  <w:num w:numId="10" w16cid:durableId="1725130439">
    <w:abstractNumId w:val="6"/>
  </w:num>
  <w:num w:numId="11" w16cid:durableId="1844858954">
    <w:abstractNumId w:val="17"/>
  </w:num>
  <w:num w:numId="12" w16cid:durableId="1402294651">
    <w:abstractNumId w:val="9"/>
  </w:num>
  <w:num w:numId="13" w16cid:durableId="1391344460">
    <w:abstractNumId w:val="14"/>
  </w:num>
  <w:num w:numId="14" w16cid:durableId="584843735">
    <w:abstractNumId w:val="20"/>
  </w:num>
  <w:num w:numId="15" w16cid:durableId="19478525">
    <w:abstractNumId w:val="18"/>
  </w:num>
  <w:num w:numId="16" w16cid:durableId="2131507749">
    <w:abstractNumId w:val="12"/>
  </w:num>
  <w:num w:numId="17" w16cid:durableId="217480850">
    <w:abstractNumId w:val="7"/>
  </w:num>
  <w:num w:numId="18" w16cid:durableId="1066680881">
    <w:abstractNumId w:val="19"/>
  </w:num>
  <w:num w:numId="19" w16cid:durableId="458959516">
    <w:abstractNumId w:val="0"/>
  </w:num>
  <w:num w:numId="20" w16cid:durableId="1129392632">
    <w:abstractNumId w:val="3"/>
  </w:num>
  <w:num w:numId="21" w16cid:durableId="6917598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B3"/>
    <w:rsid w:val="0000020F"/>
    <w:rsid w:val="00000377"/>
    <w:rsid w:val="000013E2"/>
    <w:rsid w:val="00002A6D"/>
    <w:rsid w:val="0000413A"/>
    <w:rsid w:val="00006B78"/>
    <w:rsid w:val="000145C1"/>
    <w:rsid w:val="00015248"/>
    <w:rsid w:val="00015394"/>
    <w:rsid w:val="00017124"/>
    <w:rsid w:val="00017ECA"/>
    <w:rsid w:val="00021DAF"/>
    <w:rsid w:val="00023E3C"/>
    <w:rsid w:val="000254BF"/>
    <w:rsid w:val="0002641A"/>
    <w:rsid w:val="000269C5"/>
    <w:rsid w:val="00027475"/>
    <w:rsid w:val="00027919"/>
    <w:rsid w:val="00032A45"/>
    <w:rsid w:val="00036EA2"/>
    <w:rsid w:val="00041D86"/>
    <w:rsid w:val="00042861"/>
    <w:rsid w:val="00043A7A"/>
    <w:rsid w:val="000441CD"/>
    <w:rsid w:val="000462F1"/>
    <w:rsid w:val="000467C4"/>
    <w:rsid w:val="0005496C"/>
    <w:rsid w:val="00055690"/>
    <w:rsid w:val="0005711A"/>
    <w:rsid w:val="00057FD6"/>
    <w:rsid w:val="00064BCF"/>
    <w:rsid w:val="00064DE0"/>
    <w:rsid w:val="00066BAB"/>
    <w:rsid w:val="00067A94"/>
    <w:rsid w:val="00070DBC"/>
    <w:rsid w:val="00072A1C"/>
    <w:rsid w:val="00073378"/>
    <w:rsid w:val="000743E1"/>
    <w:rsid w:val="00074550"/>
    <w:rsid w:val="00075103"/>
    <w:rsid w:val="000764C2"/>
    <w:rsid w:val="00081F6E"/>
    <w:rsid w:val="00083C73"/>
    <w:rsid w:val="000852FD"/>
    <w:rsid w:val="00087908"/>
    <w:rsid w:val="000908E9"/>
    <w:rsid w:val="0009754F"/>
    <w:rsid w:val="000976FE"/>
    <w:rsid w:val="000A16C8"/>
    <w:rsid w:val="000A2272"/>
    <w:rsid w:val="000A5348"/>
    <w:rsid w:val="000A61A1"/>
    <w:rsid w:val="000A652B"/>
    <w:rsid w:val="000A7B6F"/>
    <w:rsid w:val="000B2AA3"/>
    <w:rsid w:val="000B414A"/>
    <w:rsid w:val="000B5B52"/>
    <w:rsid w:val="000B5CD7"/>
    <w:rsid w:val="000B5FA8"/>
    <w:rsid w:val="000B6098"/>
    <w:rsid w:val="000C0959"/>
    <w:rsid w:val="000C1F39"/>
    <w:rsid w:val="000C368D"/>
    <w:rsid w:val="000C48E3"/>
    <w:rsid w:val="000C5788"/>
    <w:rsid w:val="000C65DA"/>
    <w:rsid w:val="000D3750"/>
    <w:rsid w:val="000D75B0"/>
    <w:rsid w:val="000E04B7"/>
    <w:rsid w:val="000E1FC8"/>
    <w:rsid w:val="000E272E"/>
    <w:rsid w:val="000E3380"/>
    <w:rsid w:val="000E35D6"/>
    <w:rsid w:val="000E4923"/>
    <w:rsid w:val="000E4B93"/>
    <w:rsid w:val="000E5399"/>
    <w:rsid w:val="000E6C61"/>
    <w:rsid w:val="000F400E"/>
    <w:rsid w:val="000F4B17"/>
    <w:rsid w:val="000F6900"/>
    <w:rsid w:val="000F6C92"/>
    <w:rsid w:val="000F70C8"/>
    <w:rsid w:val="000F7596"/>
    <w:rsid w:val="00100BA4"/>
    <w:rsid w:val="00101BBE"/>
    <w:rsid w:val="00102BBB"/>
    <w:rsid w:val="00103963"/>
    <w:rsid w:val="00104E04"/>
    <w:rsid w:val="00105741"/>
    <w:rsid w:val="0010787F"/>
    <w:rsid w:val="00110B83"/>
    <w:rsid w:val="00111F12"/>
    <w:rsid w:val="00111FB3"/>
    <w:rsid w:val="0011225A"/>
    <w:rsid w:val="00112EDC"/>
    <w:rsid w:val="0011558A"/>
    <w:rsid w:val="00117EEF"/>
    <w:rsid w:val="00125EC0"/>
    <w:rsid w:val="00126EF6"/>
    <w:rsid w:val="00127B80"/>
    <w:rsid w:val="001309C9"/>
    <w:rsid w:val="00131C27"/>
    <w:rsid w:val="00134518"/>
    <w:rsid w:val="001352AC"/>
    <w:rsid w:val="00137C11"/>
    <w:rsid w:val="001414CB"/>
    <w:rsid w:val="00141561"/>
    <w:rsid w:val="00146454"/>
    <w:rsid w:val="00147F95"/>
    <w:rsid w:val="00150079"/>
    <w:rsid w:val="001515A1"/>
    <w:rsid w:val="0015396A"/>
    <w:rsid w:val="00153A9A"/>
    <w:rsid w:val="0015582B"/>
    <w:rsid w:val="00156E9B"/>
    <w:rsid w:val="00160D65"/>
    <w:rsid w:val="001612B0"/>
    <w:rsid w:val="00165243"/>
    <w:rsid w:val="00165870"/>
    <w:rsid w:val="00166536"/>
    <w:rsid w:val="00166C1B"/>
    <w:rsid w:val="00167888"/>
    <w:rsid w:val="00171361"/>
    <w:rsid w:val="001716CD"/>
    <w:rsid w:val="0017310D"/>
    <w:rsid w:val="00173BD0"/>
    <w:rsid w:val="001749EE"/>
    <w:rsid w:val="00176DE5"/>
    <w:rsid w:val="00181E6A"/>
    <w:rsid w:val="001822CC"/>
    <w:rsid w:val="00184861"/>
    <w:rsid w:val="001861D0"/>
    <w:rsid w:val="00186F5E"/>
    <w:rsid w:val="00187F8D"/>
    <w:rsid w:val="00193D54"/>
    <w:rsid w:val="001943FB"/>
    <w:rsid w:val="001A169A"/>
    <w:rsid w:val="001A386C"/>
    <w:rsid w:val="001A3EE5"/>
    <w:rsid w:val="001A3FCD"/>
    <w:rsid w:val="001A79C0"/>
    <w:rsid w:val="001B0E58"/>
    <w:rsid w:val="001B2FD2"/>
    <w:rsid w:val="001B3367"/>
    <w:rsid w:val="001B4063"/>
    <w:rsid w:val="001B4077"/>
    <w:rsid w:val="001B453F"/>
    <w:rsid w:val="001B4A93"/>
    <w:rsid w:val="001B78D9"/>
    <w:rsid w:val="001C07D1"/>
    <w:rsid w:val="001C0B04"/>
    <w:rsid w:val="001C0EE9"/>
    <w:rsid w:val="001C1678"/>
    <w:rsid w:val="001C1DE1"/>
    <w:rsid w:val="001C2463"/>
    <w:rsid w:val="001C5A20"/>
    <w:rsid w:val="001C6565"/>
    <w:rsid w:val="001C67AC"/>
    <w:rsid w:val="001D07AF"/>
    <w:rsid w:val="001D3107"/>
    <w:rsid w:val="001D371C"/>
    <w:rsid w:val="001E4B22"/>
    <w:rsid w:val="001E60C3"/>
    <w:rsid w:val="001E6C5B"/>
    <w:rsid w:val="001F0C76"/>
    <w:rsid w:val="001F0FB1"/>
    <w:rsid w:val="001F1FC4"/>
    <w:rsid w:val="001F246E"/>
    <w:rsid w:val="001F300C"/>
    <w:rsid w:val="001F4A7F"/>
    <w:rsid w:val="001F795C"/>
    <w:rsid w:val="0020051E"/>
    <w:rsid w:val="00202442"/>
    <w:rsid w:val="00202F11"/>
    <w:rsid w:val="00204B7D"/>
    <w:rsid w:val="00207E5D"/>
    <w:rsid w:val="00211017"/>
    <w:rsid w:val="00216835"/>
    <w:rsid w:val="00220823"/>
    <w:rsid w:val="00224E95"/>
    <w:rsid w:val="00225608"/>
    <w:rsid w:val="00231F28"/>
    <w:rsid w:val="00244275"/>
    <w:rsid w:val="00245909"/>
    <w:rsid w:val="00254E30"/>
    <w:rsid w:val="00255E20"/>
    <w:rsid w:val="00262310"/>
    <w:rsid w:val="00264B3A"/>
    <w:rsid w:val="00264C10"/>
    <w:rsid w:val="002717BF"/>
    <w:rsid w:val="00272399"/>
    <w:rsid w:val="00277DC5"/>
    <w:rsid w:val="00280749"/>
    <w:rsid w:val="00283C99"/>
    <w:rsid w:val="00284760"/>
    <w:rsid w:val="00285E4E"/>
    <w:rsid w:val="00286F33"/>
    <w:rsid w:val="002879F2"/>
    <w:rsid w:val="00292F44"/>
    <w:rsid w:val="00295736"/>
    <w:rsid w:val="00295968"/>
    <w:rsid w:val="00296530"/>
    <w:rsid w:val="002A082F"/>
    <w:rsid w:val="002A7D7C"/>
    <w:rsid w:val="002B0F1D"/>
    <w:rsid w:val="002B185A"/>
    <w:rsid w:val="002B395A"/>
    <w:rsid w:val="002B3DFC"/>
    <w:rsid w:val="002B3E6C"/>
    <w:rsid w:val="002B6A97"/>
    <w:rsid w:val="002B7822"/>
    <w:rsid w:val="002C57A9"/>
    <w:rsid w:val="002C63EF"/>
    <w:rsid w:val="002D0633"/>
    <w:rsid w:val="002D09DE"/>
    <w:rsid w:val="002D49C8"/>
    <w:rsid w:val="002D4E16"/>
    <w:rsid w:val="002D5033"/>
    <w:rsid w:val="002D70D9"/>
    <w:rsid w:val="002E0F50"/>
    <w:rsid w:val="002E180F"/>
    <w:rsid w:val="002E4D71"/>
    <w:rsid w:val="002E64FA"/>
    <w:rsid w:val="002E6E91"/>
    <w:rsid w:val="002F0B0D"/>
    <w:rsid w:val="002F28A2"/>
    <w:rsid w:val="002F39DD"/>
    <w:rsid w:val="002F45B8"/>
    <w:rsid w:val="002F7537"/>
    <w:rsid w:val="00300FA9"/>
    <w:rsid w:val="0030122E"/>
    <w:rsid w:val="00303AD1"/>
    <w:rsid w:val="00303B05"/>
    <w:rsid w:val="00303FF2"/>
    <w:rsid w:val="00304113"/>
    <w:rsid w:val="00304890"/>
    <w:rsid w:val="003060E2"/>
    <w:rsid w:val="00307611"/>
    <w:rsid w:val="00311AE0"/>
    <w:rsid w:val="00312ACC"/>
    <w:rsid w:val="0031379F"/>
    <w:rsid w:val="00316E21"/>
    <w:rsid w:val="003173A6"/>
    <w:rsid w:val="0032335D"/>
    <w:rsid w:val="00325D5E"/>
    <w:rsid w:val="003320F3"/>
    <w:rsid w:val="00334927"/>
    <w:rsid w:val="003372CC"/>
    <w:rsid w:val="00343DF5"/>
    <w:rsid w:val="0034565D"/>
    <w:rsid w:val="003507ED"/>
    <w:rsid w:val="00351CBA"/>
    <w:rsid w:val="0036109C"/>
    <w:rsid w:val="00362539"/>
    <w:rsid w:val="003639C3"/>
    <w:rsid w:val="0036574D"/>
    <w:rsid w:val="003663DB"/>
    <w:rsid w:val="00367CD8"/>
    <w:rsid w:val="00371AC7"/>
    <w:rsid w:val="003739E3"/>
    <w:rsid w:val="00374EC5"/>
    <w:rsid w:val="003764B3"/>
    <w:rsid w:val="003860EA"/>
    <w:rsid w:val="003878E7"/>
    <w:rsid w:val="00392226"/>
    <w:rsid w:val="00392542"/>
    <w:rsid w:val="00392BC2"/>
    <w:rsid w:val="00392E71"/>
    <w:rsid w:val="003944C6"/>
    <w:rsid w:val="00395E46"/>
    <w:rsid w:val="00397758"/>
    <w:rsid w:val="003A15BD"/>
    <w:rsid w:val="003A2E20"/>
    <w:rsid w:val="003A3065"/>
    <w:rsid w:val="003A593E"/>
    <w:rsid w:val="003B378F"/>
    <w:rsid w:val="003B5996"/>
    <w:rsid w:val="003B6E47"/>
    <w:rsid w:val="003B79E5"/>
    <w:rsid w:val="003B7FB2"/>
    <w:rsid w:val="003C14B4"/>
    <w:rsid w:val="003C52FE"/>
    <w:rsid w:val="003C5EA5"/>
    <w:rsid w:val="003D0F2F"/>
    <w:rsid w:val="003D41BA"/>
    <w:rsid w:val="003D6DF4"/>
    <w:rsid w:val="003D77EC"/>
    <w:rsid w:val="003E073A"/>
    <w:rsid w:val="003E1317"/>
    <w:rsid w:val="003E3FBC"/>
    <w:rsid w:val="003E49A8"/>
    <w:rsid w:val="003E69ED"/>
    <w:rsid w:val="003E770B"/>
    <w:rsid w:val="003F05A3"/>
    <w:rsid w:val="003F11EA"/>
    <w:rsid w:val="003F1326"/>
    <w:rsid w:val="003F172A"/>
    <w:rsid w:val="003F489F"/>
    <w:rsid w:val="003F4EFE"/>
    <w:rsid w:val="003F60FC"/>
    <w:rsid w:val="00401483"/>
    <w:rsid w:val="0040196A"/>
    <w:rsid w:val="00403397"/>
    <w:rsid w:val="00404CE8"/>
    <w:rsid w:val="004069A7"/>
    <w:rsid w:val="00407506"/>
    <w:rsid w:val="00407A71"/>
    <w:rsid w:val="004147D4"/>
    <w:rsid w:val="00414F0E"/>
    <w:rsid w:val="00422332"/>
    <w:rsid w:val="0042257B"/>
    <w:rsid w:val="004225DF"/>
    <w:rsid w:val="00424ACE"/>
    <w:rsid w:val="004251F2"/>
    <w:rsid w:val="0043058F"/>
    <w:rsid w:val="00431093"/>
    <w:rsid w:val="00435F3B"/>
    <w:rsid w:val="004378A8"/>
    <w:rsid w:val="004410A2"/>
    <w:rsid w:val="0044124A"/>
    <w:rsid w:val="00441E66"/>
    <w:rsid w:val="00442004"/>
    <w:rsid w:val="004420C0"/>
    <w:rsid w:val="004462C0"/>
    <w:rsid w:val="00447084"/>
    <w:rsid w:val="00452D24"/>
    <w:rsid w:val="00453481"/>
    <w:rsid w:val="00461E5E"/>
    <w:rsid w:val="00466DCF"/>
    <w:rsid w:val="00466DD9"/>
    <w:rsid w:val="004674AB"/>
    <w:rsid w:val="00471789"/>
    <w:rsid w:val="004735DF"/>
    <w:rsid w:val="0047545C"/>
    <w:rsid w:val="004756A5"/>
    <w:rsid w:val="00480FAA"/>
    <w:rsid w:val="00483AF2"/>
    <w:rsid w:val="004842C4"/>
    <w:rsid w:val="00485190"/>
    <w:rsid w:val="00490143"/>
    <w:rsid w:val="00490293"/>
    <w:rsid w:val="00490823"/>
    <w:rsid w:val="00492D26"/>
    <w:rsid w:val="00493AC4"/>
    <w:rsid w:val="004946DF"/>
    <w:rsid w:val="0049534F"/>
    <w:rsid w:val="004A004D"/>
    <w:rsid w:val="004A31F2"/>
    <w:rsid w:val="004B0A5D"/>
    <w:rsid w:val="004B2276"/>
    <w:rsid w:val="004B422B"/>
    <w:rsid w:val="004B4F8B"/>
    <w:rsid w:val="004C13FA"/>
    <w:rsid w:val="004C3578"/>
    <w:rsid w:val="004C3D0F"/>
    <w:rsid w:val="004C77F6"/>
    <w:rsid w:val="004D0A65"/>
    <w:rsid w:val="004D1843"/>
    <w:rsid w:val="004D1DE0"/>
    <w:rsid w:val="004D2E2B"/>
    <w:rsid w:val="004D78D9"/>
    <w:rsid w:val="004E3967"/>
    <w:rsid w:val="004E4274"/>
    <w:rsid w:val="004F170E"/>
    <w:rsid w:val="004F1738"/>
    <w:rsid w:val="004F1D0B"/>
    <w:rsid w:val="004F22DA"/>
    <w:rsid w:val="004F2D21"/>
    <w:rsid w:val="004F3763"/>
    <w:rsid w:val="004F596C"/>
    <w:rsid w:val="004F6F60"/>
    <w:rsid w:val="004F7C47"/>
    <w:rsid w:val="00502231"/>
    <w:rsid w:val="00506E8D"/>
    <w:rsid w:val="005109BD"/>
    <w:rsid w:val="00510E00"/>
    <w:rsid w:val="005130C0"/>
    <w:rsid w:val="00513243"/>
    <w:rsid w:val="00520AB2"/>
    <w:rsid w:val="005221D0"/>
    <w:rsid w:val="0052527A"/>
    <w:rsid w:val="00526D67"/>
    <w:rsid w:val="00527DF7"/>
    <w:rsid w:val="00532D66"/>
    <w:rsid w:val="00533820"/>
    <w:rsid w:val="00533E48"/>
    <w:rsid w:val="005373A4"/>
    <w:rsid w:val="0053792A"/>
    <w:rsid w:val="005405CD"/>
    <w:rsid w:val="00545F8F"/>
    <w:rsid w:val="00547E57"/>
    <w:rsid w:val="00550C14"/>
    <w:rsid w:val="00553BDC"/>
    <w:rsid w:val="0055447E"/>
    <w:rsid w:val="00555292"/>
    <w:rsid w:val="00563C5A"/>
    <w:rsid w:val="0056607A"/>
    <w:rsid w:val="00570F12"/>
    <w:rsid w:val="00575B64"/>
    <w:rsid w:val="00576F66"/>
    <w:rsid w:val="00580A90"/>
    <w:rsid w:val="00586948"/>
    <w:rsid w:val="00586A5D"/>
    <w:rsid w:val="00587D7D"/>
    <w:rsid w:val="0059220F"/>
    <w:rsid w:val="005951C0"/>
    <w:rsid w:val="00595AAA"/>
    <w:rsid w:val="0059721C"/>
    <w:rsid w:val="005A0C9C"/>
    <w:rsid w:val="005A0D99"/>
    <w:rsid w:val="005A6CBC"/>
    <w:rsid w:val="005A7BC7"/>
    <w:rsid w:val="005B76F5"/>
    <w:rsid w:val="005C2BFC"/>
    <w:rsid w:val="005C5283"/>
    <w:rsid w:val="005C583A"/>
    <w:rsid w:val="005C5A08"/>
    <w:rsid w:val="005C6B5E"/>
    <w:rsid w:val="005C7DB4"/>
    <w:rsid w:val="005C7E04"/>
    <w:rsid w:val="005D1638"/>
    <w:rsid w:val="005D1993"/>
    <w:rsid w:val="005D5F27"/>
    <w:rsid w:val="005E0E2C"/>
    <w:rsid w:val="005E2E6D"/>
    <w:rsid w:val="005E3B9B"/>
    <w:rsid w:val="005E55EE"/>
    <w:rsid w:val="005F19B7"/>
    <w:rsid w:val="005F7B28"/>
    <w:rsid w:val="0060104E"/>
    <w:rsid w:val="00607301"/>
    <w:rsid w:val="006079D9"/>
    <w:rsid w:val="00607DD8"/>
    <w:rsid w:val="006107DA"/>
    <w:rsid w:val="006138C8"/>
    <w:rsid w:val="006142C8"/>
    <w:rsid w:val="00615C9A"/>
    <w:rsid w:val="00616DE9"/>
    <w:rsid w:val="00617021"/>
    <w:rsid w:val="0061797D"/>
    <w:rsid w:val="006223FB"/>
    <w:rsid w:val="0062301B"/>
    <w:rsid w:val="006237F0"/>
    <w:rsid w:val="00624765"/>
    <w:rsid w:val="0062602A"/>
    <w:rsid w:val="006274E2"/>
    <w:rsid w:val="00630CA2"/>
    <w:rsid w:val="006354D5"/>
    <w:rsid w:val="0064242F"/>
    <w:rsid w:val="006431EB"/>
    <w:rsid w:val="00644713"/>
    <w:rsid w:val="00646AD8"/>
    <w:rsid w:val="0065307C"/>
    <w:rsid w:val="00653A58"/>
    <w:rsid w:val="00656C0C"/>
    <w:rsid w:val="00657EE3"/>
    <w:rsid w:val="00661D85"/>
    <w:rsid w:val="00671A36"/>
    <w:rsid w:val="00673E34"/>
    <w:rsid w:val="0067427B"/>
    <w:rsid w:val="006757E8"/>
    <w:rsid w:val="006803D8"/>
    <w:rsid w:val="0068204B"/>
    <w:rsid w:val="00682827"/>
    <w:rsid w:val="006868A5"/>
    <w:rsid w:val="0068763C"/>
    <w:rsid w:val="00687E92"/>
    <w:rsid w:val="00693FD4"/>
    <w:rsid w:val="00694AFF"/>
    <w:rsid w:val="00695330"/>
    <w:rsid w:val="0069563C"/>
    <w:rsid w:val="0069670C"/>
    <w:rsid w:val="006A02E0"/>
    <w:rsid w:val="006A0E35"/>
    <w:rsid w:val="006A7A53"/>
    <w:rsid w:val="006A7B9D"/>
    <w:rsid w:val="006A7E9D"/>
    <w:rsid w:val="006B2016"/>
    <w:rsid w:val="006B23C1"/>
    <w:rsid w:val="006B627B"/>
    <w:rsid w:val="006C03B7"/>
    <w:rsid w:val="006C570E"/>
    <w:rsid w:val="006D047F"/>
    <w:rsid w:val="006D2425"/>
    <w:rsid w:val="006D455D"/>
    <w:rsid w:val="006D47BB"/>
    <w:rsid w:val="006D4B94"/>
    <w:rsid w:val="006D703C"/>
    <w:rsid w:val="006F336C"/>
    <w:rsid w:val="006F4FF5"/>
    <w:rsid w:val="006F5957"/>
    <w:rsid w:val="0070371F"/>
    <w:rsid w:val="007058A6"/>
    <w:rsid w:val="00707A8D"/>
    <w:rsid w:val="00714D94"/>
    <w:rsid w:val="00714EA0"/>
    <w:rsid w:val="00716D48"/>
    <w:rsid w:val="0072231C"/>
    <w:rsid w:val="00722567"/>
    <w:rsid w:val="00725CD1"/>
    <w:rsid w:val="007267EA"/>
    <w:rsid w:val="00730FDD"/>
    <w:rsid w:val="00731B05"/>
    <w:rsid w:val="00732154"/>
    <w:rsid w:val="00734D1B"/>
    <w:rsid w:val="007375FE"/>
    <w:rsid w:val="00737674"/>
    <w:rsid w:val="00740121"/>
    <w:rsid w:val="00740573"/>
    <w:rsid w:val="00740F5B"/>
    <w:rsid w:val="007419A2"/>
    <w:rsid w:val="00742CFD"/>
    <w:rsid w:val="0074486F"/>
    <w:rsid w:val="007451B2"/>
    <w:rsid w:val="00745F85"/>
    <w:rsid w:val="0075142D"/>
    <w:rsid w:val="0075370A"/>
    <w:rsid w:val="007559D1"/>
    <w:rsid w:val="00755EF5"/>
    <w:rsid w:val="00757A36"/>
    <w:rsid w:val="00757EA0"/>
    <w:rsid w:val="00761091"/>
    <w:rsid w:val="00761E8E"/>
    <w:rsid w:val="007645D8"/>
    <w:rsid w:val="0076474B"/>
    <w:rsid w:val="00765DE1"/>
    <w:rsid w:val="00766207"/>
    <w:rsid w:val="00766A63"/>
    <w:rsid w:val="0076799E"/>
    <w:rsid w:val="00767A50"/>
    <w:rsid w:val="00774132"/>
    <w:rsid w:val="007813EB"/>
    <w:rsid w:val="00781A8B"/>
    <w:rsid w:val="0078611B"/>
    <w:rsid w:val="00787009"/>
    <w:rsid w:val="00787673"/>
    <w:rsid w:val="0079148F"/>
    <w:rsid w:val="007924C1"/>
    <w:rsid w:val="00792CCD"/>
    <w:rsid w:val="007A489F"/>
    <w:rsid w:val="007A4A0E"/>
    <w:rsid w:val="007B3B1D"/>
    <w:rsid w:val="007B4917"/>
    <w:rsid w:val="007B5077"/>
    <w:rsid w:val="007B76D4"/>
    <w:rsid w:val="007C0F26"/>
    <w:rsid w:val="007C11D9"/>
    <w:rsid w:val="007C679C"/>
    <w:rsid w:val="007D01EC"/>
    <w:rsid w:val="007D200A"/>
    <w:rsid w:val="007D40BC"/>
    <w:rsid w:val="007D4911"/>
    <w:rsid w:val="007D715D"/>
    <w:rsid w:val="007D7496"/>
    <w:rsid w:val="007D7989"/>
    <w:rsid w:val="007E0AAA"/>
    <w:rsid w:val="007E32E2"/>
    <w:rsid w:val="007E3448"/>
    <w:rsid w:val="007E532C"/>
    <w:rsid w:val="007E5B6E"/>
    <w:rsid w:val="007F3EF3"/>
    <w:rsid w:val="008016F7"/>
    <w:rsid w:val="008027DA"/>
    <w:rsid w:val="00805BE7"/>
    <w:rsid w:val="008126E5"/>
    <w:rsid w:val="00814D92"/>
    <w:rsid w:val="008217C6"/>
    <w:rsid w:val="00821FF7"/>
    <w:rsid w:val="00822CE4"/>
    <w:rsid w:val="00825C42"/>
    <w:rsid w:val="00827146"/>
    <w:rsid w:val="008301B9"/>
    <w:rsid w:val="0083313B"/>
    <w:rsid w:val="0083425D"/>
    <w:rsid w:val="008355BA"/>
    <w:rsid w:val="00837A1A"/>
    <w:rsid w:val="00841366"/>
    <w:rsid w:val="008414E5"/>
    <w:rsid w:val="00841501"/>
    <w:rsid w:val="00842CD7"/>
    <w:rsid w:val="00846DDB"/>
    <w:rsid w:val="00851D14"/>
    <w:rsid w:val="00852263"/>
    <w:rsid w:val="00855B0E"/>
    <w:rsid w:val="00856875"/>
    <w:rsid w:val="008600CF"/>
    <w:rsid w:val="00860254"/>
    <w:rsid w:val="00865023"/>
    <w:rsid w:val="0086562F"/>
    <w:rsid w:val="00865A45"/>
    <w:rsid w:val="0087076A"/>
    <w:rsid w:val="00870A98"/>
    <w:rsid w:val="0087257A"/>
    <w:rsid w:val="00874570"/>
    <w:rsid w:val="00874C48"/>
    <w:rsid w:val="0087548E"/>
    <w:rsid w:val="00875711"/>
    <w:rsid w:val="00882971"/>
    <w:rsid w:val="00887F21"/>
    <w:rsid w:val="00890A5F"/>
    <w:rsid w:val="00893087"/>
    <w:rsid w:val="008936D3"/>
    <w:rsid w:val="00895103"/>
    <w:rsid w:val="00896081"/>
    <w:rsid w:val="00897CB1"/>
    <w:rsid w:val="00897D8E"/>
    <w:rsid w:val="008A113F"/>
    <w:rsid w:val="008A3CDE"/>
    <w:rsid w:val="008A5A39"/>
    <w:rsid w:val="008B3030"/>
    <w:rsid w:val="008B53B8"/>
    <w:rsid w:val="008B5CB0"/>
    <w:rsid w:val="008C0A19"/>
    <w:rsid w:val="008C0FA4"/>
    <w:rsid w:val="008C12C7"/>
    <w:rsid w:val="008C2C24"/>
    <w:rsid w:val="008D06B6"/>
    <w:rsid w:val="008D091F"/>
    <w:rsid w:val="008D0BE8"/>
    <w:rsid w:val="008D1A92"/>
    <w:rsid w:val="008D59B8"/>
    <w:rsid w:val="008D7A6E"/>
    <w:rsid w:val="008E1AA6"/>
    <w:rsid w:val="008E2697"/>
    <w:rsid w:val="008E2D21"/>
    <w:rsid w:val="008F2CA4"/>
    <w:rsid w:val="008F3153"/>
    <w:rsid w:val="008F36C7"/>
    <w:rsid w:val="008F3C56"/>
    <w:rsid w:val="008F40AB"/>
    <w:rsid w:val="008F6F99"/>
    <w:rsid w:val="008F76D6"/>
    <w:rsid w:val="00900634"/>
    <w:rsid w:val="00906782"/>
    <w:rsid w:val="00907216"/>
    <w:rsid w:val="00910BC9"/>
    <w:rsid w:val="0091421E"/>
    <w:rsid w:val="00915A9B"/>
    <w:rsid w:val="00920876"/>
    <w:rsid w:val="00921335"/>
    <w:rsid w:val="009217D4"/>
    <w:rsid w:val="00921F30"/>
    <w:rsid w:val="00924BE2"/>
    <w:rsid w:val="00925889"/>
    <w:rsid w:val="00925FD3"/>
    <w:rsid w:val="00926E01"/>
    <w:rsid w:val="00927FBF"/>
    <w:rsid w:val="009341C9"/>
    <w:rsid w:val="009374BA"/>
    <w:rsid w:val="00941074"/>
    <w:rsid w:val="009424F4"/>
    <w:rsid w:val="009435AB"/>
    <w:rsid w:val="00944109"/>
    <w:rsid w:val="00950ACE"/>
    <w:rsid w:val="00955C63"/>
    <w:rsid w:val="00956E4E"/>
    <w:rsid w:val="0095721C"/>
    <w:rsid w:val="009573B8"/>
    <w:rsid w:val="0096062D"/>
    <w:rsid w:val="009622B5"/>
    <w:rsid w:val="00962825"/>
    <w:rsid w:val="009631A5"/>
    <w:rsid w:val="009632A8"/>
    <w:rsid w:val="00966AC4"/>
    <w:rsid w:val="00970C2E"/>
    <w:rsid w:val="00971E3D"/>
    <w:rsid w:val="009723DC"/>
    <w:rsid w:val="00973D6A"/>
    <w:rsid w:val="00976C57"/>
    <w:rsid w:val="00980724"/>
    <w:rsid w:val="00985275"/>
    <w:rsid w:val="009867E7"/>
    <w:rsid w:val="00990CAC"/>
    <w:rsid w:val="00991BFE"/>
    <w:rsid w:val="00993C67"/>
    <w:rsid w:val="009945C9"/>
    <w:rsid w:val="00996878"/>
    <w:rsid w:val="009A0F5A"/>
    <w:rsid w:val="009A3463"/>
    <w:rsid w:val="009A3830"/>
    <w:rsid w:val="009A4378"/>
    <w:rsid w:val="009A49E0"/>
    <w:rsid w:val="009A4A16"/>
    <w:rsid w:val="009A4BD8"/>
    <w:rsid w:val="009A524C"/>
    <w:rsid w:val="009A6CC0"/>
    <w:rsid w:val="009B34B3"/>
    <w:rsid w:val="009B4BC5"/>
    <w:rsid w:val="009C2E10"/>
    <w:rsid w:val="009C45A1"/>
    <w:rsid w:val="009C47A3"/>
    <w:rsid w:val="009C5DCA"/>
    <w:rsid w:val="009C684B"/>
    <w:rsid w:val="009C6A9F"/>
    <w:rsid w:val="009C7518"/>
    <w:rsid w:val="009D0B24"/>
    <w:rsid w:val="009D1412"/>
    <w:rsid w:val="009D1D04"/>
    <w:rsid w:val="009D2032"/>
    <w:rsid w:val="009D32BA"/>
    <w:rsid w:val="009D3A95"/>
    <w:rsid w:val="009D6AC6"/>
    <w:rsid w:val="009D7970"/>
    <w:rsid w:val="009E1C17"/>
    <w:rsid w:val="009E2B0B"/>
    <w:rsid w:val="009E3E55"/>
    <w:rsid w:val="009E76DF"/>
    <w:rsid w:val="009E7998"/>
    <w:rsid w:val="009E79E6"/>
    <w:rsid w:val="009F372E"/>
    <w:rsid w:val="009F5107"/>
    <w:rsid w:val="009F5C82"/>
    <w:rsid w:val="00A00DC4"/>
    <w:rsid w:val="00A02F9F"/>
    <w:rsid w:val="00A05836"/>
    <w:rsid w:val="00A10D70"/>
    <w:rsid w:val="00A11800"/>
    <w:rsid w:val="00A1232D"/>
    <w:rsid w:val="00A12E57"/>
    <w:rsid w:val="00A14908"/>
    <w:rsid w:val="00A15911"/>
    <w:rsid w:val="00A15B53"/>
    <w:rsid w:val="00A16247"/>
    <w:rsid w:val="00A21DD8"/>
    <w:rsid w:val="00A21ECB"/>
    <w:rsid w:val="00A277E2"/>
    <w:rsid w:val="00A3107A"/>
    <w:rsid w:val="00A31973"/>
    <w:rsid w:val="00A33917"/>
    <w:rsid w:val="00A36591"/>
    <w:rsid w:val="00A36AD7"/>
    <w:rsid w:val="00A37522"/>
    <w:rsid w:val="00A45CA2"/>
    <w:rsid w:val="00A45F33"/>
    <w:rsid w:val="00A460A4"/>
    <w:rsid w:val="00A4799A"/>
    <w:rsid w:val="00A5002C"/>
    <w:rsid w:val="00A50EC2"/>
    <w:rsid w:val="00A514A7"/>
    <w:rsid w:val="00A51D93"/>
    <w:rsid w:val="00A544EE"/>
    <w:rsid w:val="00A61B70"/>
    <w:rsid w:val="00A62CCB"/>
    <w:rsid w:val="00A70E30"/>
    <w:rsid w:val="00A70FBB"/>
    <w:rsid w:val="00A717CA"/>
    <w:rsid w:val="00A721F1"/>
    <w:rsid w:val="00A72C87"/>
    <w:rsid w:val="00A7590A"/>
    <w:rsid w:val="00A772DC"/>
    <w:rsid w:val="00A774AF"/>
    <w:rsid w:val="00A829C9"/>
    <w:rsid w:val="00A8401B"/>
    <w:rsid w:val="00A8631D"/>
    <w:rsid w:val="00A870F5"/>
    <w:rsid w:val="00A87CD9"/>
    <w:rsid w:val="00A90458"/>
    <w:rsid w:val="00A91D70"/>
    <w:rsid w:val="00A92D61"/>
    <w:rsid w:val="00A93EB6"/>
    <w:rsid w:val="00A97F3A"/>
    <w:rsid w:val="00AA28B4"/>
    <w:rsid w:val="00AA67E0"/>
    <w:rsid w:val="00AA6CEF"/>
    <w:rsid w:val="00AB1C4E"/>
    <w:rsid w:val="00AB27E4"/>
    <w:rsid w:val="00AC09C5"/>
    <w:rsid w:val="00AC453F"/>
    <w:rsid w:val="00AC7D54"/>
    <w:rsid w:val="00AD14CB"/>
    <w:rsid w:val="00AD3800"/>
    <w:rsid w:val="00AD3D35"/>
    <w:rsid w:val="00AD6361"/>
    <w:rsid w:val="00AE4FC5"/>
    <w:rsid w:val="00AF07D1"/>
    <w:rsid w:val="00AF0D91"/>
    <w:rsid w:val="00AF14D0"/>
    <w:rsid w:val="00AF3BE2"/>
    <w:rsid w:val="00AF4CBC"/>
    <w:rsid w:val="00AF7C82"/>
    <w:rsid w:val="00B00523"/>
    <w:rsid w:val="00B00FA8"/>
    <w:rsid w:val="00B029A5"/>
    <w:rsid w:val="00B04D89"/>
    <w:rsid w:val="00B104AA"/>
    <w:rsid w:val="00B1119F"/>
    <w:rsid w:val="00B115D9"/>
    <w:rsid w:val="00B143CC"/>
    <w:rsid w:val="00B15EE0"/>
    <w:rsid w:val="00B173C8"/>
    <w:rsid w:val="00B208F1"/>
    <w:rsid w:val="00B2136F"/>
    <w:rsid w:val="00B217D0"/>
    <w:rsid w:val="00B218CB"/>
    <w:rsid w:val="00B223D6"/>
    <w:rsid w:val="00B224E8"/>
    <w:rsid w:val="00B22EBF"/>
    <w:rsid w:val="00B232F2"/>
    <w:rsid w:val="00B23B23"/>
    <w:rsid w:val="00B26478"/>
    <w:rsid w:val="00B26B5E"/>
    <w:rsid w:val="00B274FA"/>
    <w:rsid w:val="00B30D2D"/>
    <w:rsid w:val="00B33F1A"/>
    <w:rsid w:val="00B3497D"/>
    <w:rsid w:val="00B34B88"/>
    <w:rsid w:val="00B3686A"/>
    <w:rsid w:val="00B37105"/>
    <w:rsid w:val="00B40A99"/>
    <w:rsid w:val="00B43C44"/>
    <w:rsid w:val="00B469D9"/>
    <w:rsid w:val="00B46A27"/>
    <w:rsid w:val="00B47AB8"/>
    <w:rsid w:val="00B51418"/>
    <w:rsid w:val="00B51B10"/>
    <w:rsid w:val="00B52C1C"/>
    <w:rsid w:val="00B5326C"/>
    <w:rsid w:val="00B55444"/>
    <w:rsid w:val="00B56EB8"/>
    <w:rsid w:val="00B5758E"/>
    <w:rsid w:val="00B6073A"/>
    <w:rsid w:val="00B65631"/>
    <w:rsid w:val="00B668E1"/>
    <w:rsid w:val="00B673E0"/>
    <w:rsid w:val="00B7123D"/>
    <w:rsid w:val="00B7390D"/>
    <w:rsid w:val="00B74462"/>
    <w:rsid w:val="00B81185"/>
    <w:rsid w:val="00B820EC"/>
    <w:rsid w:val="00B84390"/>
    <w:rsid w:val="00B8453F"/>
    <w:rsid w:val="00B84ECF"/>
    <w:rsid w:val="00B84EEE"/>
    <w:rsid w:val="00B85345"/>
    <w:rsid w:val="00B85942"/>
    <w:rsid w:val="00B87062"/>
    <w:rsid w:val="00B9029B"/>
    <w:rsid w:val="00B90891"/>
    <w:rsid w:val="00B940D2"/>
    <w:rsid w:val="00B97194"/>
    <w:rsid w:val="00B971D4"/>
    <w:rsid w:val="00B97E50"/>
    <w:rsid w:val="00BA04F7"/>
    <w:rsid w:val="00BA19A3"/>
    <w:rsid w:val="00BA4A97"/>
    <w:rsid w:val="00BA4BC8"/>
    <w:rsid w:val="00BA5E72"/>
    <w:rsid w:val="00BB3A37"/>
    <w:rsid w:val="00BB43A5"/>
    <w:rsid w:val="00BB6357"/>
    <w:rsid w:val="00BB6593"/>
    <w:rsid w:val="00BC4327"/>
    <w:rsid w:val="00BC57A8"/>
    <w:rsid w:val="00BD2209"/>
    <w:rsid w:val="00BD2750"/>
    <w:rsid w:val="00BD282F"/>
    <w:rsid w:val="00BD351D"/>
    <w:rsid w:val="00BE18E5"/>
    <w:rsid w:val="00BE2884"/>
    <w:rsid w:val="00BE2E81"/>
    <w:rsid w:val="00BE399D"/>
    <w:rsid w:val="00BE64DD"/>
    <w:rsid w:val="00BE6ABA"/>
    <w:rsid w:val="00BF014C"/>
    <w:rsid w:val="00BF47CC"/>
    <w:rsid w:val="00BF609C"/>
    <w:rsid w:val="00C0114C"/>
    <w:rsid w:val="00C01329"/>
    <w:rsid w:val="00C13E00"/>
    <w:rsid w:val="00C13E2D"/>
    <w:rsid w:val="00C15F40"/>
    <w:rsid w:val="00C209BC"/>
    <w:rsid w:val="00C229E0"/>
    <w:rsid w:val="00C2566E"/>
    <w:rsid w:val="00C263D1"/>
    <w:rsid w:val="00C27216"/>
    <w:rsid w:val="00C308AC"/>
    <w:rsid w:val="00C31D8C"/>
    <w:rsid w:val="00C32DA7"/>
    <w:rsid w:val="00C33FB9"/>
    <w:rsid w:val="00C37B57"/>
    <w:rsid w:val="00C37F5A"/>
    <w:rsid w:val="00C45166"/>
    <w:rsid w:val="00C454B7"/>
    <w:rsid w:val="00C4771F"/>
    <w:rsid w:val="00C538DB"/>
    <w:rsid w:val="00C6168A"/>
    <w:rsid w:val="00C666FF"/>
    <w:rsid w:val="00C66D6E"/>
    <w:rsid w:val="00C70BF6"/>
    <w:rsid w:val="00C71B51"/>
    <w:rsid w:val="00C733FC"/>
    <w:rsid w:val="00C75133"/>
    <w:rsid w:val="00C81736"/>
    <w:rsid w:val="00C85E73"/>
    <w:rsid w:val="00C86E4B"/>
    <w:rsid w:val="00C923E3"/>
    <w:rsid w:val="00C9277A"/>
    <w:rsid w:val="00C93871"/>
    <w:rsid w:val="00CA1C4B"/>
    <w:rsid w:val="00CA4F6D"/>
    <w:rsid w:val="00CA5206"/>
    <w:rsid w:val="00CA6BDB"/>
    <w:rsid w:val="00CA7A4F"/>
    <w:rsid w:val="00CA7D91"/>
    <w:rsid w:val="00CB0B46"/>
    <w:rsid w:val="00CB1A8E"/>
    <w:rsid w:val="00CB267F"/>
    <w:rsid w:val="00CC067B"/>
    <w:rsid w:val="00CC3AE6"/>
    <w:rsid w:val="00CC4570"/>
    <w:rsid w:val="00CC7E1A"/>
    <w:rsid w:val="00CD28DD"/>
    <w:rsid w:val="00CD50DD"/>
    <w:rsid w:val="00CE1A18"/>
    <w:rsid w:val="00CE5C42"/>
    <w:rsid w:val="00CF384D"/>
    <w:rsid w:val="00CF6A84"/>
    <w:rsid w:val="00D01450"/>
    <w:rsid w:val="00D022C6"/>
    <w:rsid w:val="00D05A68"/>
    <w:rsid w:val="00D17E7A"/>
    <w:rsid w:val="00D23157"/>
    <w:rsid w:val="00D3437F"/>
    <w:rsid w:val="00D361E9"/>
    <w:rsid w:val="00D36E50"/>
    <w:rsid w:val="00D36E8A"/>
    <w:rsid w:val="00D374FD"/>
    <w:rsid w:val="00D37E6E"/>
    <w:rsid w:val="00D4267E"/>
    <w:rsid w:val="00D42DF3"/>
    <w:rsid w:val="00D4354A"/>
    <w:rsid w:val="00D46A07"/>
    <w:rsid w:val="00D515A3"/>
    <w:rsid w:val="00D5549F"/>
    <w:rsid w:val="00D66797"/>
    <w:rsid w:val="00D722B5"/>
    <w:rsid w:val="00D75267"/>
    <w:rsid w:val="00D7618F"/>
    <w:rsid w:val="00D769AB"/>
    <w:rsid w:val="00D812E9"/>
    <w:rsid w:val="00D84783"/>
    <w:rsid w:val="00D955AD"/>
    <w:rsid w:val="00DA053D"/>
    <w:rsid w:val="00DA10A7"/>
    <w:rsid w:val="00DA18A3"/>
    <w:rsid w:val="00DA5CAD"/>
    <w:rsid w:val="00DC045D"/>
    <w:rsid w:val="00DC384A"/>
    <w:rsid w:val="00DC5721"/>
    <w:rsid w:val="00DC5EA4"/>
    <w:rsid w:val="00DC6297"/>
    <w:rsid w:val="00DD2CE8"/>
    <w:rsid w:val="00DD4585"/>
    <w:rsid w:val="00DD4AF1"/>
    <w:rsid w:val="00DE2124"/>
    <w:rsid w:val="00DE23DD"/>
    <w:rsid w:val="00DF10C9"/>
    <w:rsid w:val="00DF3939"/>
    <w:rsid w:val="00DF4F82"/>
    <w:rsid w:val="00DF59F4"/>
    <w:rsid w:val="00DF5F93"/>
    <w:rsid w:val="00DF64FD"/>
    <w:rsid w:val="00DF713E"/>
    <w:rsid w:val="00E002C3"/>
    <w:rsid w:val="00E03B4D"/>
    <w:rsid w:val="00E03CCA"/>
    <w:rsid w:val="00E04384"/>
    <w:rsid w:val="00E10815"/>
    <w:rsid w:val="00E20F48"/>
    <w:rsid w:val="00E22827"/>
    <w:rsid w:val="00E229AA"/>
    <w:rsid w:val="00E26A64"/>
    <w:rsid w:val="00E30580"/>
    <w:rsid w:val="00E326DE"/>
    <w:rsid w:val="00E32C51"/>
    <w:rsid w:val="00E33E27"/>
    <w:rsid w:val="00E33F0C"/>
    <w:rsid w:val="00E3679B"/>
    <w:rsid w:val="00E3786B"/>
    <w:rsid w:val="00E404DE"/>
    <w:rsid w:val="00E42795"/>
    <w:rsid w:val="00E428F2"/>
    <w:rsid w:val="00E43850"/>
    <w:rsid w:val="00E448F6"/>
    <w:rsid w:val="00E5094F"/>
    <w:rsid w:val="00E50E95"/>
    <w:rsid w:val="00E5310C"/>
    <w:rsid w:val="00E54EC9"/>
    <w:rsid w:val="00E55B71"/>
    <w:rsid w:val="00E55B77"/>
    <w:rsid w:val="00E56D85"/>
    <w:rsid w:val="00E60B4F"/>
    <w:rsid w:val="00E64092"/>
    <w:rsid w:val="00E6503C"/>
    <w:rsid w:val="00E654A0"/>
    <w:rsid w:val="00E658F0"/>
    <w:rsid w:val="00E72033"/>
    <w:rsid w:val="00E733FB"/>
    <w:rsid w:val="00E750CB"/>
    <w:rsid w:val="00E75C74"/>
    <w:rsid w:val="00E80C89"/>
    <w:rsid w:val="00E81D07"/>
    <w:rsid w:val="00E82731"/>
    <w:rsid w:val="00E84692"/>
    <w:rsid w:val="00E84FD0"/>
    <w:rsid w:val="00E86B51"/>
    <w:rsid w:val="00E922C4"/>
    <w:rsid w:val="00E937DE"/>
    <w:rsid w:val="00E95845"/>
    <w:rsid w:val="00EA102F"/>
    <w:rsid w:val="00EA1064"/>
    <w:rsid w:val="00EA317D"/>
    <w:rsid w:val="00EA4687"/>
    <w:rsid w:val="00EA473B"/>
    <w:rsid w:val="00EB238D"/>
    <w:rsid w:val="00EB4BE1"/>
    <w:rsid w:val="00EB6F75"/>
    <w:rsid w:val="00EB7EEF"/>
    <w:rsid w:val="00EC02B1"/>
    <w:rsid w:val="00ED11A6"/>
    <w:rsid w:val="00ED292F"/>
    <w:rsid w:val="00ED689E"/>
    <w:rsid w:val="00ED6D6A"/>
    <w:rsid w:val="00EE1D28"/>
    <w:rsid w:val="00EE28B3"/>
    <w:rsid w:val="00EF27DB"/>
    <w:rsid w:val="00EF3F4B"/>
    <w:rsid w:val="00EF74DB"/>
    <w:rsid w:val="00F00961"/>
    <w:rsid w:val="00F01B44"/>
    <w:rsid w:val="00F03066"/>
    <w:rsid w:val="00F03F40"/>
    <w:rsid w:val="00F05E31"/>
    <w:rsid w:val="00F14526"/>
    <w:rsid w:val="00F15F3A"/>
    <w:rsid w:val="00F16848"/>
    <w:rsid w:val="00F1686F"/>
    <w:rsid w:val="00F16A85"/>
    <w:rsid w:val="00F16FAD"/>
    <w:rsid w:val="00F2033F"/>
    <w:rsid w:val="00F20FAF"/>
    <w:rsid w:val="00F213B0"/>
    <w:rsid w:val="00F22EEA"/>
    <w:rsid w:val="00F25FE0"/>
    <w:rsid w:val="00F260CE"/>
    <w:rsid w:val="00F301F2"/>
    <w:rsid w:val="00F33EE4"/>
    <w:rsid w:val="00F3683A"/>
    <w:rsid w:val="00F445B5"/>
    <w:rsid w:val="00F45838"/>
    <w:rsid w:val="00F47886"/>
    <w:rsid w:val="00F4794D"/>
    <w:rsid w:val="00F50363"/>
    <w:rsid w:val="00F53117"/>
    <w:rsid w:val="00F54D5B"/>
    <w:rsid w:val="00F56065"/>
    <w:rsid w:val="00F60636"/>
    <w:rsid w:val="00F630E1"/>
    <w:rsid w:val="00F6734A"/>
    <w:rsid w:val="00F70D2D"/>
    <w:rsid w:val="00F71AE0"/>
    <w:rsid w:val="00F72DCB"/>
    <w:rsid w:val="00F738E0"/>
    <w:rsid w:val="00F76486"/>
    <w:rsid w:val="00F84729"/>
    <w:rsid w:val="00F851C7"/>
    <w:rsid w:val="00F87273"/>
    <w:rsid w:val="00F8747A"/>
    <w:rsid w:val="00F952C9"/>
    <w:rsid w:val="00F978E8"/>
    <w:rsid w:val="00F97933"/>
    <w:rsid w:val="00FA08E6"/>
    <w:rsid w:val="00FA0B6A"/>
    <w:rsid w:val="00FA1716"/>
    <w:rsid w:val="00FA36ED"/>
    <w:rsid w:val="00FA4961"/>
    <w:rsid w:val="00FA6532"/>
    <w:rsid w:val="00FB010C"/>
    <w:rsid w:val="00FB14CA"/>
    <w:rsid w:val="00FB1F64"/>
    <w:rsid w:val="00FB30D3"/>
    <w:rsid w:val="00FB3FDD"/>
    <w:rsid w:val="00FB4303"/>
    <w:rsid w:val="00FB4427"/>
    <w:rsid w:val="00FC461B"/>
    <w:rsid w:val="00FC5F6C"/>
    <w:rsid w:val="00FC7DCC"/>
    <w:rsid w:val="00FD19EE"/>
    <w:rsid w:val="00FD1AE0"/>
    <w:rsid w:val="00FD1B7F"/>
    <w:rsid w:val="00FD4C30"/>
    <w:rsid w:val="00FE65D5"/>
    <w:rsid w:val="00FE68B9"/>
    <w:rsid w:val="00FF16C8"/>
    <w:rsid w:val="00FF1718"/>
    <w:rsid w:val="00FF237D"/>
    <w:rsid w:val="00FF44C8"/>
    <w:rsid w:val="00FF46D7"/>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F2049"/>
  <w15:docId w15:val="{BA13A077-16E7-468F-8707-EFD98ADC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3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943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3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943FB"/>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2E4D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D71"/>
    <w:rPr>
      <w:sz w:val="20"/>
      <w:szCs w:val="20"/>
    </w:rPr>
  </w:style>
  <w:style w:type="character" w:styleId="FootnoteReference">
    <w:name w:val="footnote reference"/>
    <w:basedOn w:val="DefaultParagraphFont"/>
    <w:uiPriority w:val="99"/>
    <w:semiHidden/>
    <w:unhideWhenUsed/>
    <w:rsid w:val="002E4D71"/>
    <w:rPr>
      <w:vertAlign w:val="superscript"/>
    </w:rPr>
  </w:style>
  <w:style w:type="paragraph" w:styleId="Header">
    <w:name w:val="header"/>
    <w:basedOn w:val="Normal"/>
    <w:link w:val="HeaderChar"/>
    <w:uiPriority w:val="99"/>
    <w:unhideWhenUsed/>
    <w:rsid w:val="0044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0A2"/>
  </w:style>
  <w:style w:type="paragraph" w:styleId="Footer">
    <w:name w:val="footer"/>
    <w:basedOn w:val="Normal"/>
    <w:link w:val="FooterChar"/>
    <w:uiPriority w:val="99"/>
    <w:unhideWhenUsed/>
    <w:rsid w:val="0044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0A2"/>
  </w:style>
  <w:style w:type="paragraph" w:styleId="ListParagraph">
    <w:name w:val="List Paragraph"/>
    <w:basedOn w:val="Normal"/>
    <w:uiPriority w:val="34"/>
    <w:qFormat/>
    <w:rsid w:val="00C263D1"/>
    <w:pPr>
      <w:ind w:left="720"/>
      <w:contextualSpacing/>
    </w:pPr>
  </w:style>
  <w:style w:type="paragraph" w:styleId="BalloonText">
    <w:name w:val="Balloon Text"/>
    <w:basedOn w:val="Normal"/>
    <w:link w:val="BalloonTextChar"/>
    <w:uiPriority w:val="99"/>
    <w:semiHidden/>
    <w:unhideWhenUsed/>
    <w:rsid w:val="00B22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E8"/>
    <w:rPr>
      <w:rFonts w:ascii="Segoe UI" w:hAnsi="Segoe UI" w:cs="Segoe UI"/>
      <w:sz w:val="18"/>
      <w:szCs w:val="18"/>
    </w:rPr>
  </w:style>
  <w:style w:type="paragraph" w:styleId="NormalWeb">
    <w:name w:val="Normal (Web)"/>
    <w:basedOn w:val="Normal"/>
    <w:uiPriority w:val="99"/>
    <w:semiHidden/>
    <w:unhideWhenUsed/>
    <w:rsid w:val="00FB30D3"/>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2087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7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7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A9B"/>
    <w:pPr>
      <w:spacing w:after="0" w:line="240" w:lineRule="auto"/>
    </w:pPr>
  </w:style>
  <w:style w:type="paragraph" w:styleId="Title">
    <w:name w:val="Title"/>
    <w:basedOn w:val="Normal"/>
    <w:next w:val="Normal"/>
    <w:link w:val="TitleChar"/>
    <w:uiPriority w:val="10"/>
    <w:qFormat/>
    <w:rsid w:val="001464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6454"/>
    <w:rPr>
      <w:rFonts w:asciiTheme="majorHAnsi" w:eastAsiaTheme="majorEastAsia" w:hAnsiTheme="majorHAnsi" w:cstheme="majorBidi"/>
      <w:spacing w:val="-10"/>
      <w:kern w:val="28"/>
      <w:sz w:val="56"/>
      <w:szCs w:val="56"/>
      <w14:ligatures w14:val="standardContextual"/>
    </w:rPr>
  </w:style>
  <w:style w:type="character" w:styleId="CommentReference">
    <w:name w:val="annotation reference"/>
    <w:basedOn w:val="DefaultParagraphFont"/>
    <w:uiPriority w:val="99"/>
    <w:semiHidden/>
    <w:unhideWhenUsed/>
    <w:rsid w:val="000E04B7"/>
    <w:rPr>
      <w:sz w:val="16"/>
      <w:szCs w:val="16"/>
    </w:rPr>
  </w:style>
  <w:style w:type="paragraph" w:styleId="CommentText">
    <w:name w:val="annotation text"/>
    <w:basedOn w:val="Normal"/>
    <w:link w:val="CommentTextChar"/>
    <w:uiPriority w:val="99"/>
    <w:semiHidden/>
    <w:unhideWhenUsed/>
    <w:rsid w:val="000E04B7"/>
    <w:pPr>
      <w:spacing w:line="240" w:lineRule="auto"/>
    </w:pPr>
    <w:rPr>
      <w:sz w:val="20"/>
      <w:szCs w:val="20"/>
    </w:rPr>
  </w:style>
  <w:style w:type="character" w:customStyle="1" w:styleId="CommentTextChar">
    <w:name w:val="Comment Text Char"/>
    <w:basedOn w:val="DefaultParagraphFont"/>
    <w:link w:val="CommentText"/>
    <w:uiPriority w:val="99"/>
    <w:semiHidden/>
    <w:rsid w:val="000E04B7"/>
    <w:rPr>
      <w:sz w:val="20"/>
      <w:szCs w:val="20"/>
    </w:rPr>
  </w:style>
  <w:style w:type="paragraph" w:styleId="CommentSubject">
    <w:name w:val="annotation subject"/>
    <w:basedOn w:val="CommentText"/>
    <w:next w:val="CommentText"/>
    <w:link w:val="CommentSubjectChar"/>
    <w:uiPriority w:val="99"/>
    <w:semiHidden/>
    <w:unhideWhenUsed/>
    <w:rsid w:val="000E04B7"/>
    <w:rPr>
      <w:b/>
      <w:bCs/>
    </w:rPr>
  </w:style>
  <w:style w:type="character" w:customStyle="1" w:styleId="CommentSubjectChar">
    <w:name w:val="Comment Subject Char"/>
    <w:basedOn w:val="CommentTextChar"/>
    <w:link w:val="CommentSubject"/>
    <w:uiPriority w:val="99"/>
    <w:semiHidden/>
    <w:rsid w:val="000E0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650924">
      <w:bodyDiv w:val="1"/>
      <w:marLeft w:val="0"/>
      <w:marRight w:val="0"/>
      <w:marTop w:val="0"/>
      <w:marBottom w:val="0"/>
      <w:divBdr>
        <w:top w:val="none" w:sz="0" w:space="0" w:color="auto"/>
        <w:left w:val="none" w:sz="0" w:space="0" w:color="auto"/>
        <w:bottom w:val="none" w:sz="0" w:space="0" w:color="auto"/>
        <w:right w:val="none" w:sz="0" w:space="0" w:color="auto"/>
      </w:divBdr>
    </w:div>
    <w:div w:id="2038195034">
      <w:bodyDiv w:val="1"/>
      <w:marLeft w:val="0"/>
      <w:marRight w:val="0"/>
      <w:marTop w:val="0"/>
      <w:marBottom w:val="0"/>
      <w:divBdr>
        <w:top w:val="none" w:sz="0" w:space="0" w:color="auto"/>
        <w:left w:val="none" w:sz="0" w:space="0" w:color="auto"/>
        <w:bottom w:val="none" w:sz="0" w:space="0" w:color="auto"/>
        <w:right w:val="none" w:sz="0" w:space="0" w:color="auto"/>
      </w:divBdr>
    </w:div>
    <w:div w:id="20733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A792F-4D21-4606-969B-948DB0732E4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23</TotalTime>
  <Pages>19</Pages>
  <Words>7633</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Arben Seferaj</cp:lastModifiedBy>
  <cp:revision>16</cp:revision>
  <dcterms:created xsi:type="dcterms:W3CDTF">2026-06-08T09:38:00Z</dcterms:created>
  <dcterms:modified xsi:type="dcterms:W3CDTF">2026-06-08T10:53:00Z</dcterms:modified>
</cp:coreProperties>
</file>